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A4022" w14:textId="6BAE5DCD" w:rsidR="004C0084" w:rsidRPr="004C0084" w:rsidRDefault="00DD7632" w:rsidP="004C0084">
      <w:pPr>
        <w:jc w:val="center"/>
        <w:rPr>
          <w:sz w:val="4"/>
          <w:szCs w:val="4"/>
          <w:u w:val="single"/>
        </w:rPr>
      </w:pPr>
      <w:r>
        <w:rPr>
          <w:sz w:val="38"/>
          <w:szCs w:val="38"/>
          <w:u w:val="single"/>
        </w:rPr>
        <w:t>Market Report Week 28</w:t>
      </w:r>
      <w:r w:rsidR="00C550B9">
        <w:rPr>
          <w:sz w:val="38"/>
          <w:szCs w:val="38"/>
          <w:u w:val="single"/>
        </w:rPr>
        <w:t xml:space="preserve">: </w:t>
      </w:r>
      <w:r>
        <w:rPr>
          <w:sz w:val="38"/>
          <w:szCs w:val="38"/>
          <w:u w:val="single"/>
        </w:rPr>
        <w:t>July 8-12</w:t>
      </w:r>
      <w:r w:rsidR="00310D36">
        <w:rPr>
          <w:sz w:val="38"/>
          <w:szCs w:val="38"/>
          <w:u w:val="single"/>
        </w:rPr>
        <w:t>, 2013</w:t>
      </w:r>
    </w:p>
    <w:p w14:paraId="73BC8722" w14:textId="024D289B" w:rsidR="00AA34A2" w:rsidRDefault="0084592E">
      <w:r>
        <w:rPr>
          <w:noProof/>
        </w:rPr>
        <w:drawing>
          <wp:inline distT="0" distB="0" distL="0" distR="0" wp14:anchorId="651B7688" wp14:editId="6B428B60">
            <wp:extent cx="9715500" cy="3949700"/>
            <wp:effectExtent l="0" t="0" r="12700" b="1270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29929B3" w14:textId="77777777" w:rsidR="00B51354" w:rsidRDefault="00B51354"/>
    <w:p w14:paraId="68E185BA" w14:textId="79030CD8" w:rsidR="00B51354" w:rsidRDefault="0084592E">
      <w:r>
        <w:rPr>
          <w:noProof/>
        </w:rPr>
        <w:drawing>
          <wp:inline distT="0" distB="0" distL="0" distR="0" wp14:anchorId="50487C4F" wp14:editId="4839B811">
            <wp:extent cx="4457700" cy="2857500"/>
            <wp:effectExtent l="0" t="0" r="12700" b="1270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B51354">
        <w:t xml:space="preserve">            </w:t>
      </w:r>
      <w:bookmarkStart w:id="0" w:name="_GoBack"/>
      <w:r w:rsidR="005A4A88">
        <w:rPr>
          <w:noProof/>
        </w:rPr>
        <w:drawing>
          <wp:inline distT="0" distB="0" distL="0" distR="0" wp14:anchorId="0510B701" wp14:editId="72012E29">
            <wp:extent cx="4457700" cy="2806700"/>
            <wp:effectExtent l="0" t="0" r="12700" b="1270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B51354" w:rsidSect="00B51354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354"/>
    <w:rsid w:val="000E16F9"/>
    <w:rsid w:val="000F7E82"/>
    <w:rsid w:val="0015685A"/>
    <w:rsid w:val="001D0F9B"/>
    <w:rsid w:val="001E2DB0"/>
    <w:rsid w:val="002250A4"/>
    <w:rsid w:val="00241756"/>
    <w:rsid w:val="00276A12"/>
    <w:rsid w:val="002932DC"/>
    <w:rsid w:val="002A16D1"/>
    <w:rsid w:val="00310D36"/>
    <w:rsid w:val="00337F96"/>
    <w:rsid w:val="003A7945"/>
    <w:rsid w:val="0043231D"/>
    <w:rsid w:val="004C0084"/>
    <w:rsid w:val="005238D1"/>
    <w:rsid w:val="005A4A88"/>
    <w:rsid w:val="006906ED"/>
    <w:rsid w:val="00741945"/>
    <w:rsid w:val="00790CFE"/>
    <w:rsid w:val="0084592E"/>
    <w:rsid w:val="00897B0A"/>
    <w:rsid w:val="009244FC"/>
    <w:rsid w:val="009A4BBB"/>
    <w:rsid w:val="009D4F56"/>
    <w:rsid w:val="009F632B"/>
    <w:rsid w:val="00A50E02"/>
    <w:rsid w:val="00A57289"/>
    <w:rsid w:val="00AA34A2"/>
    <w:rsid w:val="00AD7506"/>
    <w:rsid w:val="00B51354"/>
    <w:rsid w:val="00B91D21"/>
    <w:rsid w:val="00BF695E"/>
    <w:rsid w:val="00C3696A"/>
    <w:rsid w:val="00C550B9"/>
    <w:rsid w:val="00CF7575"/>
    <w:rsid w:val="00D200D7"/>
    <w:rsid w:val="00DD7632"/>
    <w:rsid w:val="00E62DC3"/>
    <w:rsid w:val="00EB1BE4"/>
    <w:rsid w:val="00EC1D73"/>
    <w:rsid w:val="00F068B9"/>
    <w:rsid w:val="00FA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44F3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35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35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35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35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hart" Target="charts/chart1.xml"/><Relationship Id="rId6" Type="http://schemas.openxmlformats.org/officeDocument/2006/relationships/chart" Target="charts/chart2.xml"/><Relationship Id="rId7" Type="http://schemas.openxmlformats.org/officeDocument/2006/relationships/chart" Target="charts/chart3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company:Administrative:Marketing%20Program:Market%20Info:2013%20Market%20Reports:2013%20Auction%20Prices%20wk%202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2013 Global Tea Auction Prices By Week</a:t>
            </a: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Kenya</c:v>
                </c:pt>
              </c:strCache>
            </c:strRef>
          </c:tx>
          <c:cat>
            <c:numRef>
              <c:f>Sheet1!$A$2:$A$29</c:f>
              <c:numCache>
                <c:formatCode>General</c:formatCode>
                <c:ptCount val="28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</c:numCache>
            </c:numRef>
          </c:cat>
          <c:val>
            <c:numRef>
              <c:f>Sheet1!$B$2:$B$29</c:f>
              <c:numCache>
                <c:formatCode>General</c:formatCode>
                <c:ptCount val="28"/>
                <c:pt idx="0">
                  <c:v>338.0</c:v>
                </c:pt>
                <c:pt idx="1">
                  <c:v>335.0</c:v>
                </c:pt>
                <c:pt idx="2">
                  <c:v>336.0</c:v>
                </c:pt>
                <c:pt idx="3">
                  <c:v>331.0</c:v>
                </c:pt>
                <c:pt idx="4">
                  <c:v>332.0</c:v>
                </c:pt>
                <c:pt idx="5">
                  <c:v>331.0</c:v>
                </c:pt>
                <c:pt idx="6">
                  <c:v>315.0</c:v>
                </c:pt>
                <c:pt idx="7">
                  <c:v>309.0</c:v>
                </c:pt>
                <c:pt idx="8">
                  <c:v>295.0</c:v>
                </c:pt>
                <c:pt idx="9">
                  <c:v>302.0</c:v>
                </c:pt>
                <c:pt idx="10">
                  <c:v>283.0</c:v>
                </c:pt>
                <c:pt idx="11">
                  <c:v>266.0</c:v>
                </c:pt>
                <c:pt idx="12">
                  <c:v>252.0</c:v>
                </c:pt>
                <c:pt idx="13">
                  <c:v>252.0</c:v>
                </c:pt>
                <c:pt idx="14">
                  <c:v>244.0</c:v>
                </c:pt>
                <c:pt idx="15">
                  <c:v>243.0</c:v>
                </c:pt>
                <c:pt idx="16">
                  <c:v>246.0</c:v>
                </c:pt>
                <c:pt idx="17">
                  <c:v>255.0</c:v>
                </c:pt>
                <c:pt idx="18">
                  <c:v>251.0</c:v>
                </c:pt>
                <c:pt idx="19">
                  <c:v>259.0</c:v>
                </c:pt>
                <c:pt idx="20">
                  <c:v>244.0</c:v>
                </c:pt>
                <c:pt idx="21">
                  <c:v>232.0</c:v>
                </c:pt>
                <c:pt idx="22">
                  <c:v>225.0</c:v>
                </c:pt>
                <c:pt idx="23">
                  <c:v>234.0</c:v>
                </c:pt>
                <c:pt idx="24">
                  <c:v>249.0</c:v>
                </c:pt>
                <c:pt idx="25">
                  <c:v>242.0</c:v>
                </c:pt>
                <c:pt idx="26">
                  <c:v>243.0</c:v>
                </c:pt>
                <c:pt idx="27">
                  <c:v>230.0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Malawi</c:v>
                </c:pt>
              </c:strCache>
            </c:strRef>
          </c:tx>
          <c:cat>
            <c:numRef>
              <c:f>Sheet1!$A$2:$A$29</c:f>
              <c:numCache>
                <c:formatCode>General</c:formatCode>
                <c:ptCount val="28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</c:numCache>
            </c:numRef>
          </c:cat>
          <c:val>
            <c:numRef>
              <c:f>Sheet1!$C$2:$C$29</c:f>
              <c:numCache>
                <c:formatCode>General</c:formatCode>
                <c:ptCount val="28"/>
                <c:pt idx="0">
                  <c:v>190.0</c:v>
                </c:pt>
                <c:pt idx="1">
                  <c:v>190.0</c:v>
                </c:pt>
                <c:pt idx="2">
                  <c:v>190.0</c:v>
                </c:pt>
                <c:pt idx="3">
                  <c:v>195.0</c:v>
                </c:pt>
                <c:pt idx="4">
                  <c:v>195.0</c:v>
                </c:pt>
                <c:pt idx="5">
                  <c:v>210.0</c:v>
                </c:pt>
                <c:pt idx="6">
                  <c:v>217.0</c:v>
                </c:pt>
                <c:pt idx="7">
                  <c:v>212.0</c:v>
                </c:pt>
                <c:pt idx="8">
                  <c:v>212.0</c:v>
                </c:pt>
                <c:pt idx="9">
                  <c:v>212.0</c:v>
                </c:pt>
                <c:pt idx="10">
                  <c:v>194.0</c:v>
                </c:pt>
                <c:pt idx="11">
                  <c:v>194.0</c:v>
                </c:pt>
                <c:pt idx="12">
                  <c:v>194.0</c:v>
                </c:pt>
                <c:pt idx="13">
                  <c:v>194.0</c:v>
                </c:pt>
                <c:pt idx="14">
                  <c:v>198.0</c:v>
                </c:pt>
                <c:pt idx="15">
                  <c:v>198.0</c:v>
                </c:pt>
                <c:pt idx="16">
                  <c:v>194.0</c:v>
                </c:pt>
                <c:pt idx="17">
                  <c:v>182.0</c:v>
                </c:pt>
                <c:pt idx="20">
                  <c:v>190.0</c:v>
                </c:pt>
                <c:pt idx="21">
                  <c:v>189.0</c:v>
                </c:pt>
                <c:pt idx="22">
                  <c:v>189.0</c:v>
                </c:pt>
                <c:pt idx="23">
                  <c:v>189.0</c:v>
                </c:pt>
                <c:pt idx="24">
                  <c:v>189.0</c:v>
                </c:pt>
                <c:pt idx="25">
                  <c:v>189.0</c:v>
                </c:pt>
                <c:pt idx="27">
                  <c:v>169.0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Indonesia</c:v>
                </c:pt>
              </c:strCache>
            </c:strRef>
          </c:tx>
          <c:cat>
            <c:numRef>
              <c:f>Sheet1!$A$2:$A$29</c:f>
              <c:numCache>
                <c:formatCode>General</c:formatCode>
                <c:ptCount val="28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</c:numCache>
            </c:numRef>
          </c:cat>
          <c:val>
            <c:numRef>
              <c:f>Sheet1!$D$2:$D$29</c:f>
              <c:numCache>
                <c:formatCode>General</c:formatCode>
                <c:ptCount val="28"/>
                <c:pt idx="0">
                  <c:v>223.0</c:v>
                </c:pt>
                <c:pt idx="1">
                  <c:v>223.0</c:v>
                </c:pt>
                <c:pt idx="2">
                  <c:v>226.0</c:v>
                </c:pt>
                <c:pt idx="3">
                  <c:v>230.0</c:v>
                </c:pt>
                <c:pt idx="4">
                  <c:v>237.0</c:v>
                </c:pt>
                <c:pt idx="5">
                  <c:v>233.0</c:v>
                </c:pt>
                <c:pt idx="6">
                  <c:v>224.0</c:v>
                </c:pt>
                <c:pt idx="7">
                  <c:v>226.0</c:v>
                </c:pt>
                <c:pt idx="8">
                  <c:v>220.0</c:v>
                </c:pt>
                <c:pt idx="9">
                  <c:v>216.0</c:v>
                </c:pt>
                <c:pt idx="10">
                  <c:v>209.0</c:v>
                </c:pt>
                <c:pt idx="11">
                  <c:v>214.0</c:v>
                </c:pt>
                <c:pt idx="12">
                  <c:v>207.0</c:v>
                </c:pt>
                <c:pt idx="13">
                  <c:v>210.0</c:v>
                </c:pt>
                <c:pt idx="14">
                  <c:v>214.0</c:v>
                </c:pt>
                <c:pt idx="15">
                  <c:v>208.0</c:v>
                </c:pt>
                <c:pt idx="16">
                  <c:v>204.0</c:v>
                </c:pt>
                <c:pt idx="17">
                  <c:v>199.0</c:v>
                </c:pt>
                <c:pt idx="18">
                  <c:v>194.0</c:v>
                </c:pt>
                <c:pt idx="19">
                  <c:v>192.0</c:v>
                </c:pt>
                <c:pt idx="20">
                  <c:v>186.0</c:v>
                </c:pt>
                <c:pt idx="21">
                  <c:v>186.0</c:v>
                </c:pt>
                <c:pt idx="22">
                  <c:v>187.0</c:v>
                </c:pt>
                <c:pt idx="23">
                  <c:v>185.0</c:v>
                </c:pt>
                <c:pt idx="24">
                  <c:v>183.0</c:v>
                </c:pt>
                <c:pt idx="25">
                  <c:v>180.0</c:v>
                </c:pt>
                <c:pt idx="26">
                  <c:v>182.0</c:v>
                </c:pt>
                <c:pt idx="27">
                  <c:v>183.0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N. India</c:v>
                </c:pt>
              </c:strCache>
            </c:strRef>
          </c:tx>
          <c:cat>
            <c:numRef>
              <c:f>Sheet1!$A$2:$A$29</c:f>
              <c:numCache>
                <c:formatCode>General</c:formatCode>
                <c:ptCount val="28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</c:numCache>
            </c:numRef>
          </c:cat>
          <c:val>
            <c:numRef>
              <c:f>Sheet1!$E$2:$E$29</c:f>
              <c:numCache>
                <c:formatCode>General</c:formatCode>
                <c:ptCount val="28"/>
                <c:pt idx="0">
                  <c:v>360.0</c:v>
                </c:pt>
                <c:pt idx="1">
                  <c:v>360.0</c:v>
                </c:pt>
                <c:pt idx="2">
                  <c:v>257.0</c:v>
                </c:pt>
                <c:pt idx="3">
                  <c:v>263.0</c:v>
                </c:pt>
                <c:pt idx="4">
                  <c:v>245.0</c:v>
                </c:pt>
                <c:pt idx="5">
                  <c:v>245.0</c:v>
                </c:pt>
                <c:pt idx="6">
                  <c:v>240.0</c:v>
                </c:pt>
                <c:pt idx="9">
                  <c:v>250.0</c:v>
                </c:pt>
                <c:pt idx="11">
                  <c:v>244.0</c:v>
                </c:pt>
                <c:pt idx="14">
                  <c:v>245.0</c:v>
                </c:pt>
                <c:pt idx="15">
                  <c:v>302.0</c:v>
                </c:pt>
                <c:pt idx="16">
                  <c:v>306.0</c:v>
                </c:pt>
                <c:pt idx="17">
                  <c:v>322.0</c:v>
                </c:pt>
                <c:pt idx="18">
                  <c:v>321.0</c:v>
                </c:pt>
                <c:pt idx="19">
                  <c:v>322.0</c:v>
                </c:pt>
                <c:pt idx="20">
                  <c:v>317.0</c:v>
                </c:pt>
                <c:pt idx="21">
                  <c:v>311.0</c:v>
                </c:pt>
                <c:pt idx="22">
                  <c:v>294.0</c:v>
                </c:pt>
                <c:pt idx="23">
                  <c:v>272.0</c:v>
                </c:pt>
                <c:pt idx="24">
                  <c:v>280.0</c:v>
                </c:pt>
                <c:pt idx="25">
                  <c:v>290.0</c:v>
                </c:pt>
                <c:pt idx="26">
                  <c:v>292.0</c:v>
                </c:pt>
                <c:pt idx="27">
                  <c:v>287.0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S. India</c:v>
                </c:pt>
              </c:strCache>
            </c:strRef>
          </c:tx>
          <c:cat>
            <c:numRef>
              <c:f>Sheet1!$A$2:$A$29</c:f>
              <c:numCache>
                <c:formatCode>General</c:formatCode>
                <c:ptCount val="28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</c:numCache>
            </c:numRef>
          </c:cat>
          <c:val>
            <c:numRef>
              <c:f>Sheet1!$F$2:$F$29</c:f>
              <c:numCache>
                <c:formatCode>General</c:formatCode>
                <c:ptCount val="28"/>
                <c:pt idx="0">
                  <c:v>203.0</c:v>
                </c:pt>
                <c:pt idx="1">
                  <c:v>226.0</c:v>
                </c:pt>
                <c:pt idx="2">
                  <c:v>224.0</c:v>
                </c:pt>
                <c:pt idx="3">
                  <c:v>208.0</c:v>
                </c:pt>
                <c:pt idx="4">
                  <c:v>211.0</c:v>
                </c:pt>
                <c:pt idx="5">
                  <c:v>201.0</c:v>
                </c:pt>
                <c:pt idx="6">
                  <c:v>150.0</c:v>
                </c:pt>
                <c:pt idx="7">
                  <c:v>200.0</c:v>
                </c:pt>
                <c:pt idx="8">
                  <c:v>205.0</c:v>
                </c:pt>
                <c:pt idx="9">
                  <c:v>220.0</c:v>
                </c:pt>
                <c:pt idx="10">
                  <c:v>216.0</c:v>
                </c:pt>
                <c:pt idx="11">
                  <c:v>226.0</c:v>
                </c:pt>
                <c:pt idx="12">
                  <c:v>226.0</c:v>
                </c:pt>
                <c:pt idx="13">
                  <c:v>209.0</c:v>
                </c:pt>
                <c:pt idx="14">
                  <c:v>206.0</c:v>
                </c:pt>
                <c:pt idx="15">
                  <c:v>208.0</c:v>
                </c:pt>
                <c:pt idx="16">
                  <c:v>219.0</c:v>
                </c:pt>
                <c:pt idx="17">
                  <c:v>219.0</c:v>
                </c:pt>
                <c:pt idx="19">
                  <c:v>224.0</c:v>
                </c:pt>
                <c:pt idx="20">
                  <c:v>209.0</c:v>
                </c:pt>
                <c:pt idx="21">
                  <c:v>203.0</c:v>
                </c:pt>
                <c:pt idx="22">
                  <c:v>201.0</c:v>
                </c:pt>
                <c:pt idx="23">
                  <c:v>215.0</c:v>
                </c:pt>
                <c:pt idx="24">
                  <c:v>211.0</c:v>
                </c:pt>
                <c:pt idx="25">
                  <c:v>200.0</c:v>
                </c:pt>
                <c:pt idx="26">
                  <c:v>205.0</c:v>
                </c:pt>
                <c:pt idx="27">
                  <c:v>203.0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Sri Lanka</c:v>
                </c:pt>
              </c:strCache>
            </c:strRef>
          </c:tx>
          <c:cat>
            <c:numRef>
              <c:f>Sheet1!$A$2:$A$29</c:f>
              <c:numCache>
                <c:formatCode>General</c:formatCode>
                <c:ptCount val="28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</c:numCache>
            </c:numRef>
          </c:cat>
          <c:val>
            <c:numRef>
              <c:f>Sheet1!$G$2:$G$29</c:f>
              <c:numCache>
                <c:formatCode>General</c:formatCode>
                <c:ptCount val="28"/>
                <c:pt idx="0">
                  <c:v>381.0</c:v>
                </c:pt>
                <c:pt idx="1">
                  <c:v>392.0</c:v>
                </c:pt>
                <c:pt idx="2">
                  <c:v>391.0</c:v>
                </c:pt>
                <c:pt idx="3">
                  <c:v>374.0</c:v>
                </c:pt>
                <c:pt idx="4">
                  <c:v>356.0</c:v>
                </c:pt>
                <c:pt idx="5">
                  <c:v>349.0</c:v>
                </c:pt>
                <c:pt idx="6">
                  <c:v>349.0</c:v>
                </c:pt>
                <c:pt idx="7">
                  <c:v>357.0</c:v>
                </c:pt>
                <c:pt idx="8">
                  <c:v>329.0</c:v>
                </c:pt>
                <c:pt idx="9">
                  <c:v>342.0</c:v>
                </c:pt>
                <c:pt idx="10">
                  <c:v>341.0</c:v>
                </c:pt>
                <c:pt idx="11">
                  <c:v>330.0</c:v>
                </c:pt>
                <c:pt idx="12">
                  <c:v>330.0</c:v>
                </c:pt>
                <c:pt idx="13">
                  <c:v>311.0</c:v>
                </c:pt>
                <c:pt idx="14">
                  <c:v>293.0</c:v>
                </c:pt>
                <c:pt idx="15">
                  <c:v>293.0</c:v>
                </c:pt>
                <c:pt idx="16">
                  <c:v>288.0</c:v>
                </c:pt>
                <c:pt idx="17">
                  <c:v>283.0</c:v>
                </c:pt>
                <c:pt idx="19">
                  <c:v>290.0</c:v>
                </c:pt>
                <c:pt idx="20">
                  <c:v>275.0</c:v>
                </c:pt>
                <c:pt idx="21">
                  <c:v>285.0</c:v>
                </c:pt>
                <c:pt idx="22">
                  <c:v>273.0</c:v>
                </c:pt>
                <c:pt idx="23">
                  <c:v>294.0</c:v>
                </c:pt>
                <c:pt idx="24">
                  <c:v>301.0</c:v>
                </c:pt>
                <c:pt idx="25">
                  <c:v>306.0</c:v>
                </c:pt>
                <c:pt idx="26">
                  <c:v>319.0</c:v>
                </c:pt>
                <c:pt idx="27">
                  <c:v>355.0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92988792"/>
        <c:axId val="2145319128"/>
      </c:lineChart>
      <c:catAx>
        <c:axId val="-209298879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Week Number</a:t>
                </a:r>
              </a:p>
            </c:rich>
          </c:tx>
          <c:layout>
            <c:manualLayout>
              <c:xMode val="edge"/>
              <c:yMode val="edge"/>
              <c:x val="0.477318473408347"/>
              <c:y val="0.933333333333333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2145319128"/>
        <c:crosses val="autoZero"/>
        <c:auto val="1"/>
        <c:lblAlgn val="ctr"/>
        <c:lblOffset val="100"/>
        <c:noMultiLvlLbl val="0"/>
      </c:catAx>
      <c:valAx>
        <c:axId val="2145319128"/>
        <c:scaling>
          <c:orientation val="minMax"/>
          <c:min val="125.0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Price of Tea in</a:t>
                </a:r>
                <a:r>
                  <a:rPr lang="en-US" sz="1200" baseline="0"/>
                  <a:t> US cents</a:t>
                </a:r>
                <a:endParaRPr lang="en-US" sz="1200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-209298879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 sz="1500"/>
            </a:pPr>
            <a:r>
              <a:rPr lang="en-US" sz="1500" b="1">
                <a:effectLst/>
              </a:rPr>
              <a:t>Weekly Auction Prices (USC/Kilo</a:t>
            </a:r>
            <a:r>
              <a:rPr lang="en-US" sz="1500" b="1" baseline="0">
                <a:effectLst/>
              </a:rPr>
              <a:t> FOB</a:t>
            </a:r>
            <a:r>
              <a:rPr lang="en-US" sz="1500" b="1">
                <a:effectLst/>
              </a:rPr>
              <a:t>)</a:t>
            </a:r>
            <a:endParaRPr lang="en-US" sz="1500">
              <a:effectLst/>
            </a:endParaRP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05146345343196"/>
          <c:y val="0.17603305785124"/>
          <c:w val="0.761781993159946"/>
          <c:h val="0.7068874861716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</c:spPr>
          <c:invertIfNegative val="0"/>
          <c:cat>
            <c:strRef>
              <c:f>Sheet1!$A$2:$A$7</c:f>
              <c:strCache>
                <c:ptCount val="6"/>
                <c:pt idx="0">
                  <c:v>Kenya</c:v>
                </c:pt>
                <c:pt idx="1">
                  <c:v>Malawi</c:v>
                </c:pt>
                <c:pt idx="2">
                  <c:v>Indonesia</c:v>
                </c:pt>
                <c:pt idx="3">
                  <c:v>N. India</c:v>
                </c:pt>
                <c:pt idx="4">
                  <c:v>S. India</c:v>
                </c:pt>
                <c:pt idx="5">
                  <c:v>Sri Lanka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230.0</c:v>
                </c:pt>
                <c:pt idx="1">
                  <c:v>169.0</c:v>
                </c:pt>
                <c:pt idx="2">
                  <c:v>183.0</c:v>
                </c:pt>
                <c:pt idx="3">
                  <c:v>287.0</c:v>
                </c:pt>
                <c:pt idx="4">
                  <c:v>203.0</c:v>
                </c:pt>
                <c:pt idx="5">
                  <c:v>355.0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cat>
            <c:strRef>
              <c:f>Sheet1!$A$2:$A$7</c:f>
              <c:strCache>
                <c:ptCount val="6"/>
                <c:pt idx="0">
                  <c:v>Kenya</c:v>
                </c:pt>
                <c:pt idx="1">
                  <c:v>Malawi</c:v>
                </c:pt>
                <c:pt idx="2">
                  <c:v>Indonesia</c:v>
                </c:pt>
                <c:pt idx="3">
                  <c:v>N. India</c:v>
                </c:pt>
                <c:pt idx="4">
                  <c:v>S. India</c:v>
                </c:pt>
                <c:pt idx="5">
                  <c:v>Sri Lanka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317.0</c:v>
                </c:pt>
                <c:pt idx="1">
                  <c:v>201.0</c:v>
                </c:pt>
                <c:pt idx="2">
                  <c:v>207.0</c:v>
                </c:pt>
                <c:pt idx="3">
                  <c:v>300.0</c:v>
                </c:pt>
                <c:pt idx="4">
                  <c:v>216.0</c:v>
                </c:pt>
                <c:pt idx="5">
                  <c:v>280.0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75255976"/>
        <c:axId val="-2093044696"/>
      </c:barChart>
      <c:catAx>
        <c:axId val="2075255976"/>
        <c:scaling>
          <c:orientation val="minMax"/>
        </c:scaling>
        <c:delete val="0"/>
        <c:axPos val="b"/>
        <c:majorTickMark val="none"/>
        <c:minorTickMark val="none"/>
        <c:tickLblPos val="nextTo"/>
        <c:crossAx val="-2093044696"/>
        <c:crosses val="autoZero"/>
        <c:auto val="1"/>
        <c:lblAlgn val="ctr"/>
        <c:lblOffset val="100"/>
        <c:noMultiLvlLbl val="0"/>
      </c:catAx>
      <c:valAx>
        <c:axId val="-2093044696"/>
        <c:scaling>
          <c:orientation val="minMax"/>
          <c:min val="125.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07525597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AVG Prices</a:t>
            </a:r>
            <a:r>
              <a:rPr lang="en-US" sz="1400" baseline="0"/>
              <a:t> Year to Date (USC/Kilo FOB)</a:t>
            </a:r>
            <a:endParaRPr lang="en-US" sz="1400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0739998779222365"/>
          <c:y val="0.186734693877551"/>
          <c:w val="0.756242039512503"/>
          <c:h val="0.6380957737425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rgbClr val="FFBF00"/>
            </a:solidFill>
          </c:spPr>
          <c:invertIfNegative val="0"/>
          <c:cat>
            <c:strRef>
              <c:f>Sheet1!$A$2:$A$7</c:f>
              <c:strCache>
                <c:ptCount val="6"/>
                <c:pt idx="0">
                  <c:v>Kenya</c:v>
                </c:pt>
                <c:pt idx="1">
                  <c:v>Malawi</c:v>
                </c:pt>
                <c:pt idx="2">
                  <c:v>Indonesia</c:v>
                </c:pt>
                <c:pt idx="3">
                  <c:v>N. India</c:v>
                </c:pt>
                <c:pt idx="4">
                  <c:v>S. India</c:v>
                </c:pt>
                <c:pt idx="5">
                  <c:v>Sri Lanka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274.0</c:v>
                </c:pt>
                <c:pt idx="1">
                  <c:v>194.0</c:v>
                </c:pt>
                <c:pt idx="2">
                  <c:v>206.0</c:v>
                </c:pt>
                <c:pt idx="3">
                  <c:v>288.0</c:v>
                </c:pt>
                <c:pt idx="4">
                  <c:v>211.0</c:v>
                </c:pt>
                <c:pt idx="5">
                  <c:v>324.0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rgbClr val="58B400"/>
            </a:solidFill>
          </c:spPr>
          <c:invertIfNegative val="0"/>
          <c:cat>
            <c:strRef>
              <c:f>Sheet1!$A$2:$A$7</c:f>
              <c:strCache>
                <c:ptCount val="6"/>
                <c:pt idx="0">
                  <c:v>Kenya</c:v>
                </c:pt>
                <c:pt idx="1">
                  <c:v>Malawi</c:v>
                </c:pt>
                <c:pt idx="2">
                  <c:v>Indonesia</c:v>
                </c:pt>
                <c:pt idx="3">
                  <c:v>N. India</c:v>
                </c:pt>
                <c:pt idx="4">
                  <c:v>S. India</c:v>
                </c:pt>
                <c:pt idx="5">
                  <c:v>Sri Lanka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295.0</c:v>
                </c:pt>
                <c:pt idx="1">
                  <c:v>166.0</c:v>
                </c:pt>
                <c:pt idx="2">
                  <c:v>195.0</c:v>
                </c:pt>
                <c:pt idx="3">
                  <c:v>249.0</c:v>
                </c:pt>
                <c:pt idx="4">
                  <c:v>186.0</c:v>
                </c:pt>
                <c:pt idx="5">
                  <c:v>302.0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061609448"/>
        <c:axId val="-2105468456"/>
      </c:barChart>
      <c:catAx>
        <c:axId val="-2061609448"/>
        <c:scaling>
          <c:orientation val="minMax"/>
        </c:scaling>
        <c:delete val="0"/>
        <c:axPos val="b"/>
        <c:majorTickMark val="out"/>
        <c:minorTickMark val="none"/>
        <c:tickLblPos val="nextTo"/>
        <c:crossAx val="-2105468456"/>
        <c:crosses val="autoZero"/>
        <c:auto val="1"/>
        <c:lblAlgn val="ctr"/>
        <c:lblOffset val="100"/>
        <c:noMultiLvlLbl val="0"/>
      </c:catAx>
      <c:valAx>
        <c:axId val="-2105468456"/>
        <c:scaling>
          <c:orientation val="minMax"/>
          <c:min val="125.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206160944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49</Characters>
  <Application>Microsoft Macintosh Word</Application>
  <DocSecurity>0</DocSecurity>
  <Lines>1</Lines>
  <Paragraphs>1</Paragraphs>
  <ScaleCrop>false</ScaleCrop>
  <Company>Henry P. Thomson Inc.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Thomson</dc:creator>
  <cp:keywords/>
  <dc:description/>
  <cp:lastModifiedBy>Henry Thomson</cp:lastModifiedBy>
  <cp:revision>6</cp:revision>
  <dcterms:created xsi:type="dcterms:W3CDTF">2013-07-12T18:25:00Z</dcterms:created>
  <dcterms:modified xsi:type="dcterms:W3CDTF">2013-08-02T14:48:00Z</dcterms:modified>
</cp:coreProperties>
</file>