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BBE9A6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6B4E57">
        <w:rPr>
          <w:sz w:val="38"/>
          <w:szCs w:val="38"/>
          <w:u w:val="single"/>
        </w:rPr>
        <w:t>16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A22DB0">
        <w:rPr>
          <w:sz w:val="38"/>
          <w:szCs w:val="38"/>
          <w:u w:val="single"/>
        </w:rPr>
        <w:t>Apr</w:t>
      </w:r>
      <w:r w:rsidR="007B63E6">
        <w:rPr>
          <w:sz w:val="38"/>
          <w:szCs w:val="38"/>
          <w:u w:val="single"/>
        </w:rPr>
        <w:t xml:space="preserve"> </w:t>
      </w:r>
      <w:r w:rsidR="006B4E57">
        <w:rPr>
          <w:sz w:val="38"/>
          <w:szCs w:val="38"/>
          <w:u w:val="single"/>
        </w:rPr>
        <w:t>13-17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0AC9EB90" w:rsidR="00AA34A2" w:rsidRDefault="00C74475">
      <w:r>
        <w:rPr>
          <w:noProof/>
        </w:rPr>
        <w:drawing>
          <wp:inline distT="0" distB="0" distL="0" distR="0" wp14:anchorId="7F5EAC41" wp14:editId="71CE2599">
            <wp:extent cx="9601200" cy="3721100"/>
            <wp:effectExtent l="0" t="0" r="2540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6BC9253" w:rsidR="00B51354" w:rsidRPr="00AA2F1F" w:rsidRDefault="00B51354" w:rsidP="00E01DCE">
      <w:r>
        <w:t xml:space="preserve">       </w:t>
      </w:r>
      <w:bookmarkStart w:id="0" w:name="_GoBack"/>
      <w:r w:rsidR="00C74475">
        <w:rPr>
          <w:noProof/>
        </w:rPr>
        <w:drawing>
          <wp:inline distT="0" distB="0" distL="0" distR="0" wp14:anchorId="48FCF7AA" wp14:editId="195B9E2D">
            <wp:extent cx="4457700" cy="3086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</w:t>
      </w:r>
      <w:r w:rsidR="00C74475">
        <w:rPr>
          <w:noProof/>
        </w:rPr>
        <w:drawing>
          <wp:inline distT="0" distB="0" distL="0" distR="0" wp14:anchorId="2B4638A5" wp14:editId="184FA3AD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66AE7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97B0A"/>
    <w:rsid w:val="008E68EE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9550696"/>
        <c:axId val="-2081621384"/>
      </c:lineChart>
      <c:catAx>
        <c:axId val="-2109550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81621384"/>
        <c:crosses val="autoZero"/>
        <c:auto val="1"/>
        <c:lblAlgn val="ctr"/>
        <c:lblOffset val="100"/>
        <c:noMultiLvlLbl val="0"/>
      </c:catAx>
      <c:valAx>
        <c:axId val="-2081621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9550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289.0</c:v>
                </c:pt>
                <c:pt idx="1">
                  <c:v>184.0</c:v>
                </c:pt>
                <c:pt idx="2">
                  <c:v>157.0</c:v>
                </c:pt>
                <c:pt idx="3">
                  <c:v>270.0</c:v>
                </c:pt>
                <c:pt idx="4">
                  <c:v>183.0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218.0</c:v>
                </c:pt>
                <c:pt idx="1">
                  <c:v>144.0</c:v>
                </c:pt>
                <c:pt idx="2">
                  <c:v>165.0</c:v>
                </c:pt>
                <c:pt idx="3">
                  <c:v>221.0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1149704"/>
        <c:axId val="2090261864"/>
      </c:barChart>
      <c:catAx>
        <c:axId val="-2121149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90261864"/>
        <c:crosses val="autoZero"/>
        <c:auto val="1"/>
        <c:lblAlgn val="ctr"/>
        <c:lblOffset val="100"/>
        <c:noMultiLvlLbl val="0"/>
      </c:catAx>
      <c:valAx>
        <c:axId val="209026186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1149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276.0</c:v>
                </c:pt>
                <c:pt idx="1">
                  <c:v>142.0</c:v>
                </c:pt>
                <c:pt idx="2">
                  <c:v>178.0</c:v>
                </c:pt>
                <c:pt idx="3">
                  <c:v>224.0</c:v>
                </c:pt>
                <c:pt idx="4">
                  <c:v>178.0</c:v>
                </c:pt>
                <c:pt idx="5">
                  <c:v>326.0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223.0</c:v>
                </c:pt>
                <c:pt idx="1">
                  <c:v>147.0</c:v>
                </c:pt>
                <c:pt idx="2">
                  <c:v>178.0</c:v>
                </c:pt>
                <c:pt idx="3">
                  <c:v>206.0</c:v>
                </c:pt>
                <c:pt idx="4">
                  <c:v>172.0</c:v>
                </c:pt>
                <c:pt idx="5">
                  <c:v>344.0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9875096"/>
        <c:axId val="-2113021256"/>
      </c:barChart>
      <c:catAx>
        <c:axId val="-207987509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3021256"/>
        <c:crosses val="autoZero"/>
        <c:auto val="1"/>
        <c:lblAlgn val="ctr"/>
        <c:lblOffset val="100"/>
        <c:noMultiLvlLbl val="0"/>
      </c:catAx>
      <c:valAx>
        <c:axId val="-211302125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9875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2015-04-23T18:15:00Z</dcterms:created>
  <dcterms:modified xsi:type="dcterms:W3CDTF">2015-04-23T18:17:00Z</dcterms:modified>
</cp:coreProperties>
</file>