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4CD98311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27D92">
        <w:rPr>
          <w:sz w:val="38"/>
          <w:szCs w:val="38"/>
          <w:u w:val="single"/>
        </w:rPr>
        <w:t>33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August</w:t>
      </w:r>
      <w:r w:rsidR="006024BE">
        <w:rPr>
          <w:sz w:val="38"/>
          <w:szCs w:val="38"/>
          <w:u w:val="single"/>
        </w:rPr>
        <w:t xml:space="preserve"> </w:t>
      </w:r>
      <w:r w:rsidR="00027D92">
        <w:rPr>
          <w:sz w:val="38"/>
          <w:szCs w:val="38"/>
          <w:u w:val="single"/>
        </w:rPr>
        <w:t>8-12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5206887A" w:rsidR="00AA34A2" w:rsidRDefault="00412DA9">
      <w:r>
        <w:rPr>
          <w:noProof/>
        </w:rPr>
        <w:drawing>
          <wp:inline distT="0" distB="0" distL="0" distR="0" wp14:anchorId="5FAE8570" wp14:editId="05EA9B7B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21D2F2F6" w:rsidR="00B51354" w:rsidRPr="00AA2F1F" w:rsidRDefault="00B51354" w:rsidP="00E01DCE">
      <w:r>
        <w:t xml:space="preserve">   </w:t>
      </w:r>
      <w:r w:rsidR="00412DA9">
        <w:rPr>
          <w:noProof/>
        </w:rPr>
        <w:drawing>
          <wp:inline distT="0" distB="0" distL="0" distR="0" wp14:anchorId="168AF435" wp14:editId="36E8612D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412DA9">
        <w:rPr>
          <w:noProof/>
        </w:rPr>
        <w:drawing>
          <wp:inline distT="0" distB="0" distL="0" distR="0" wp14:anchorId="34BF7BBE" wp14:editId="1D896911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12DA9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1513648"/>
        <c:axId val="-813473216"/>
      </c:lineChart>
      <c:catAx>
        <c:axId val="-861513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13473216"/>
        <c:crosses val="autoZero"/>
        <c:auto val="1"/>
        <c:lblAlgn val="ctr"/>
        <c:lblOffset val="100"/>
        <c:noMultiLvlLbl val="0"/>
      </c:catAx>
      <c:valAx>
        <c:axId val="-813473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61513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228.0</c:v>
                </c:pt>
                <c:pt idx="1">
                  <c:v>172.0</c:v>
                </c:pt>
                <c:pt idx="2">
                  <c:v>156.0</c:v>
                </c:pt>
                <c:pt idx="3">
                  <c:v>278.0</c:v>
                </c:pt>
                <c:pt idx="4">
                  <c:v>224.0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362.0</c:v>
                </c:pt>
                <c:pt idx="1">
                  <c:v>156.0</c:v>
                </c:pt>
                <c:pt idx="2">
                  <c:v>177.0</c:v>
                </c:pt>
                <c:pt idx="3">
                  <c:v>285.0</c:v>
                </c:pt>
                <c:pt idx="4">
                  <c:v>164.0</c:v>
                </c:pt>
                <c:pt idx="5">
                  <c:v>368.0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12903616"/>
        <c:axId val="-799583984"/>
      </c:barChart>
      <c:catAx>
        <c:axId val="-812903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99583984"/>
        <c:crosses val="autoZero"/>
        <c:auto val="1"/>
        <c:lblAlgn val="ctr"/>
        <c:lblOffset val="100"/>
        <c:noMultiLvlLbl val="0"/>
      </c:catAx>
      <c:valAx>
        <c:axId val="-79958398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812903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195.0</c:v>
                </c:pt>
                <c:pt idx="2">
                  <c:v>169.0</c:v>
                </c:pt>
                <c:pt idx="3">
                  <c:v>282.0</c:v>
                </c:pt>
                <c:pt idx="4">
                  <c:v>210.0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311.0</c:v>
                </c:pt>
                <c:pt idx="1">
                  <c:v>153.0</c:v>
                </c:pt>
                <c:pt idx="2">
                  <c:v>173.0</c:v>
                </c:pt>
                <c:pt idx="3">
                  <c:v>259.0</c:v>
                </c:pt>
                <c:pt idx="4">
                  <c:v>181.0</c:v>
                </c:pt>
                <c:pt idx="5">
                  <c:v>327.0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86968416"/>
        <c:axId val="-889653184"/>
      </c:barChart>
      <c:catAx>
        <c:axId val="-78696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89653184"/>
        <c:crosses val="autoZero"/>
        <c:auto val="1"/>
        <c:lblAlgn val="ctr"/>
        <c:lblOffset val="100"/>
        <c:noMultiLvlLbl val="0"/>
      </c:catAx>
      <c:valAx>
        <c:axId val="-88965318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86968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2016-08-16T19:21:00Z</dcterms:created>
  <dcterms:modified xsi:type="dcterms:W3CDTF">2016-08-30T17:00:00Z</dcterms:modified>
</cp:coreProperties>
</file>