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01B1B13" w:rsidR="004C0084" w:rsidRPr="004C0084" w:rsidRDefault="00310D36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20: May 13-17, 2013</w:t>
      </w:r>
    </w:p>
    <w:p w14:paraId="73BC8722" w14:textId="2FC29E67" w:rsidR="00AA34A2" w:rsidRDefault="00B42E9F">
      <w:r>
        <w:rPr>
          <w:noProof/>
        </w:rPr>
        <w:drawing>
          <wp:inline distT="0" distB="0" distL="0" distR="0" wp14:anchorId="44A44B0B" wp14:editId="07323908">
            <wp:extent cx="9601200" cy="34925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37F34CAE" w:rsidR="00B51354" w:rsidRDefault="0007197B">
      <w:r>
        <w:rPr>
          <w:noProof/>
        </w:rPr>
        <w:drawing>
          <wp:inline distT="0" distB="0" distL="0" distR="0" wp14:anchorId="085DF26E" wp14:editId="50ADD0B9">
            <wp:extent cx="4572000" cy="28575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4C5632">
        <w:rPr>
          <w:noProof/>
        </w:rPr>
        <w:drawing>
          <wp:inline distT="0" distB="0" distL="0" distR="0" wp14:anchorId="0BD18130" wp14:editId="23C49CA0">
            <wp:extent cx="4572000" cy="28067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7197B"/>
    <w:rsid w:val="00276A12"/>
    <w:rsid w:val="002A16D1"/>
    <w:rsid w:val="00310D36"/>
    <w:rsid w:val="0043231D"/>
    <w:rsid w:val="004C0084"/>
    <w:rsid w:val="004C5632"/>
    <w:rsid w:val="005238D1"/>
    <w:rsid w:val="009244FC"/>
    <w:rsid w:val="009D4F56"/>
    <w:rsid w:val="00AA34A2"/>
    <w:rsid w:val="00B42E9F"/>
    <w:rsid w:val="00B51354"/>
    <w:rsid w:val="00CF7575"/>
    <w:rsid w:val="00E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Sheet1!$A$2:$A$21</c:f>
              <c:numCache>
                <c:formatCode>General</c:formatCode>
                <c:ptCount val="2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</c:numCache>
            </c:num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Sheet1!$A$2:$A$21</c:f>
              <c:numCache>
                <c:formatCode>General</c:formatCode>
                <c:ptCount val="2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</c:numCache>
            </c:numRef>
          </c:cat>
          <c:val>
            <c:numRef>
              <c:f>Sheet1!$C$2:$C$21</c:f>
              <c:numCache>
                <c:formatCode>General</c:formatCode>
                <c:ptCount val="20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Sheet1!$A$2:$A$21</c:f>
              <c:numCache>
                <c:formatCode>General</c:formatCode>
                <c:ptCount val="2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</c:numCache>
            </c:numRef>
          </c:cat>
          <c:val>
            <c:numRef>
              <c:f>Sheet1!$D$2:$D$21</c:f>
              <c:numCache>
                <c:formatCode>General</c:formatCode>
                <c:ptCount val="20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Sheet1!$A$2:$A$21</c:f>
              <c:numCache>
                <c:formatCode>General</c:formatCode>
                <c:ptCount val="2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</c:numCache>
            </c:numRef>
          </c:cat>
          <c:val>
            <c:numRef>
              <c:f>Sheet1!$E$2:$E$21</c:f>
              <c:numCache>
                <c:formatCode>General</c:formatCode>
                <c:ptCount val="20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Sheet1!$A$2:$A$21</c:f>
              <c:numCache>
                <c:formatCode>General</c:formatCode>
                <c:ptCount val="2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</c:numCache>
            </c:numRef>
          </c:cat>
          <c:val>
            <c:numRef>
              <c:f>Sheet1!$F$2:$F$21</c:f>
              <c:numCache>
                <c:formatCode>General</c:formatCode>
                <c:ptCount val="20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Sheet1!$A$2:$A$21</c:f>
              <c:numCache>
                <c:formatCode>General</c:formatCode>
                <c:ptCount val="2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</c:numCache>
            </c:numRef>
          </c:cat>
          <c:val>
            <c:numRef>
              <c:f>Sheet1!$G$2:$G$21</c:f>
              <c:numCache>
                <c:formatCode>General</c:formatCode>
                <c:ptCount val="20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2219240"/>
        <c:axId val="-2109309096"/>
      </c:lineChart>
      <c:catAx>
        <c:axId val="2062219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9309096"/>
        <c:crosses val="autoZero"/>
        <c:auto val="1"/>
        <c:lblAlgn val="ctr"/>
        <c:lblOffset val="100"/>
        <c:noMultiLvlLbl val="0"/>
      </c:catAx>
      <c:valAx>
        <c:axId val="-2109309096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62219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>
                <a:effectLst/>
              </a:rPr>
              <a:t>Weekly Auction Prices (USC/Kilo FOB)</a:t>
            </a:r>
            <a:endParaRPr lang="en-US" sz="16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259.0</c:v>
                </c:pt>
                <c:pt idx="2">
                  <c:v>192.0</c:v>
                </c:pt>
                <c:pt idx="3">
                  <c:v>322.0</c:v>
                </c:pt>
                <c:pt idx="4">
                  <c:v>224.0</c:v>
                </c:pt>
                <c:pt idx="5">
                  <c:v>290.0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289.0</c:v>
                </c:pt>
                <c:pt idx="1">
                  <c:v>159.0</c:v>
                </c:pt>
                <c:pt idx="2">
                  <c:v>187.0</c:v>
                </c:pt>
                <c:pt idx="3">
                  <c:v>319.0</c:v>
                </c:pt>
                <c:pt idx="4">
                  <c:v>224.0</c:v>
                </c:pt>
                <c:pt idx="5">
                  <c:v>298.0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0091704"/>
        <c:axId val="2100066168"/>
      </c:barChart>
      <c:catAx>
        <c:axId val="2100091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0066168"/>
        <c:crosses val="autoZero"/>
        <c:auto val="1"/>
        <c:lblAlgn val="ctr"/>
        <c:lblOffset val="100"/>
        <c:noMultiLvlLbl val="0"/>
      </c:catAx>
      <c:valAx>
        <c:axId val="2100066168"/>
        <c:scaling>
          <c:orientation val="minMax"/>
          <c:max val="375.0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00091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AVG Prices</a:t>
            </a:r>
            <a:r>
              <a:rPr lang="en-US" sz="1600" baseline="0"/>
              <a:t> Year to Date (USC/Kilo FOB)</a:t>
            </a:r>
            <a:endParaRPr lang="en-US" sz="16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293.0</c:v>
                </c:pt>
                <c:pt idx="1">
                  <c:v>198.0</c:v>
                </c:pt>
                <c:pt idx="2">
                  <c:v>215.0</c:v>
                </c:pt>
                <c:pt idx="3">
                  <c:v>285.0</c:v>
                </c:pt>
                <c:pt idx="4">
                  <c:v>211.0</c:v>
                </c:pt>
                <c:pt idx="5">
                  <c:v>338.0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289.0</c:v>
                </c:pt>
                <c:pt idx="1">
                  <c:v>165.0</c:v>
                </c:pt>
                <c:pt idx="2">
                  <c:v>193.0</c:v>
                </c:pt>
                <c:pt idx="3">
                  <c:v>214.0</c:v>
                </c:pt>
                <c:pt idx="4">
                  <c:v>177.0</c:v>
                </c:pt>
                <c:pt idx="5">
                  <c:v>310.0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7143064"/>
        <c:axId val="-2061917256"/>
      </c:barChart>
      <c:catAx>
        <c:axId val="-212714306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61917256"/>
        <c:crosses val="autoZero"/>
        <c:auto val="1"/>
        <c:lblAlgn val="ctr"/>
        <c:lblOffset val="100"/>
        <c:noMultiLvlLbl val="0"/>
      </c:catAx>
      <c:valAx>
        <c:axId val="-2061917256"/>
        <c:scaling>
          <c:orientation val="minMax"/>
          <c:max val="375.0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7143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14</cp:revision>
  <dcterms:created xsi:type="dcterms:W3CDTF">2013-05-21T17:57:00Z</dcterms:created>
  <dcterms:modified xsi:type="dcterms:W3CDTF">2013-08-02T14:55:00Z</dcterms:modified>
</cp:coreProperties>
</file>