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630D3509" w:rsidR="004C0084" w:rsidRPr="004C0084" w:rsidRDefault="00F2071A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46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>
        <w:rPr>
          <w:sz w:val="38"/>
          <w:szCs w:val="38"/>
          <w:u w:val="single"/>
        </w:rPr>
        <w:t>Nov. 11</w:t>
      </w:r>
      <w:r w:rsidR="00662A00">
        <w:rPr>
          <w:sz w:val="38"/>
          <w:szCs w:val="38"/>
          <w:u w:val="single"/>
        </w:rPr>
        <w:t xml:space="preserve"> </w:t>
      </w:r>
      <w:r w:rsidR="00BC1D29">
        <w:rPr>
          <w:sz w:val="38"/>
          <w:szCs w:val="38"/>
          <w:u w:val="single"/>
        </w:rPr>
        <w:t>-</w:t>
      </w:r>
      <w:r>
        <w:rPr>
          <w:sz w:val="38"/>
          <w:szCs w:val="38"/>
          <w:u w:val="single"/>
        </w:rPr>
        <w:t xml:space="preserve"> 15</w:t>
      </w:r>
      <w:r w:rsidR="00310D36">
        <w:rPr>
          <w:sz w:val="38"/>
          <w:szCs w:val="38"/>
          <w:u w:val="single"/>
        </w:rPr>
        <w:t>, 2013</w:t>
      </w:r>
    </w:p>
    <w:p w14:paraId="73BC8722" w14:textId="6718BC4E" w:rsidR="00AA34A2" w:rsidRDefault="00FD1D80">
      <w:bookmarkStart w:id="0" w:name="_GoBack"/>
      <w:r>
        <w:rPr>
          <w:noProof/>
        </w:rPr>
        <w:drawing>
          <wp:inline distT="0" distB="0" distL="0" distR="0" wp14:anchorId="3AFCF1D3" wp14:editId="4DF52E9E">
            <wp:extent cx="9601200" cy="3721100"/>
            <wp:effectExtent l="0" t="0" r="254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229929B3" w14:textId="77777777" w:rsidR="00B51354" w:rsidRDefault="00B51354"/>
    <w:p w14:paraId="5DDA9ABE" w14:textId="5F6734F1" w:rsidR="00B51354" w:rsidRPr="00AA2F1F" w:rsidRDefault="00B51354" w:rsidP="00E01DCE">
      <w:r>
        <w:t xml:space="preserve">    </w:t>
      </w:r>
      <w:r w:rsidR="00B7198E">
        <w:rPr>
          <w:noProof/>
        </w:rPr>
        <w:drawing>
          <wp:inline distT="0" distB="0" distL="0" distR="0" wp14:anchorId="1566FB63" wp14:editId="4BB036F7">
            <wp:extent cx="4660900" cy="3073400"/>
            <wp:effectExtent l="0" t="0" r="127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</w:t>
      </w:r>
      <w:r w:rsidR="002F55C0">
        <w:rPr>
          <w:noProof/>
        </w:rPr>
        <w:drawing>
          <wp:inline distT="0" distB="0" distL="0" distR="0" wp14:anchorId="173A5BE4" wp14:editId="3AE9C945">
            <wp:extent cx="4457700" cy="30353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C0A7E"/>
    <w:rsid w:val="002E07A4"/>
    <w:rsid w:val="002E3BD6"/>
    <w:rsid w:val="002F55C0"/>
    <w:rsid w:val="00310D36"/>
    <w:rsid w:val="0033235B"/>
    <w:rsid w:val="00337F96"/>
    <w:rsid w:val="003A7945"/>
    <w:rsid w:val="003B5A10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7922"/>
    <w:rsid w:val="006124F3"/>
    <w:rsid w:val="0061734A"/>
    <w:rsid w:val="00662A00"/>
    <w:rsid w:val="006879D4"/>
    <w:rsid w:val="006906ED"/>
    <w:rsid w:val="006B4380"/>
    <w:rsid w:val="006D0DDF"/>
    <w:rsid w:val="006E54AD"/>
    <w:rsid w:val="00741945"/>
    <w:rsid w:val="007819C6"/>
    <w:rsid w:val="00790CFE"/>
    <w:rsid w:val="00804BCF"/>
    <w:rsid w:val="00816C6E"/>
    <w:rsid w:val="00897B0A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A2F1F"/>
    <w:rsid w:val="00AA34A2"/>
    <w:rsid w:val="00AB51E8"/>
    <w:rsid w:val="00AD7506"/>
    <w:rsid w:val="00B03BB0"/>
    <w:rsid w:val="00B51354"/>
    <w:rsid w:val="00B5573C"/>
    <w:rsid w:val="00B7198E"/>
    <w:rsid w:val="00B91D21"/>
    <w:rsid w:val="00BC1D29"/>
    <w:rsid w:val="00BF695E"/>
    <w:rsid w:val="00C17A62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D7632"/>
    <w:rsid w:val="00DF0383"/>
    <w:rsid w:val="00DF7D64"/>
    <w:rsid w:val="00E01DCE"/>
    <w:rsid w:val="00E62DC3"/>
    <w:rsid w:val="00E85525"/>
    <w:rsid w:val="00EA04ED"/>
    <w:rsid w:val="00EB1BE4"/>
    <w:rsid w:val="00EC1D73"/>
    <w:rsid w:val="00F04F1C"/>
    <w:rsid w:val="00F068B9"/>
    <w:rsid w:val="00F20048"/>
    <w:rsid w:val="00F2071A"/>
    <w:rsid w:val="00F2736D"/>
    <w:rsid w:val="00F30216"/>
    <w:rsid w:val="00F364C9"/>
    <w:rsid w:val="00FA3750"/>
    <w:rsid w:val="00FD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4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Sheet1!$B$2:$B$47</c:f>
              <c:numCache>
                <c:formatCode>General</c:formatCode>
                <c:ptCount val="46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  <c:pt idx="32">
                  <c:v>224.0</c:v>
                </c:pt>
                <c:pt idx="33">
                  <c:v>219.0</c:v>
                </c:pt>
                <c:pt idx="34">
                  <c:v>219.0</c:v>
                </c:pt>
                <c:pt idx="35">
                  <c:v>207.0</c:v>
                </c:pt>
                <c:pt idx="36">
                  <c:v>205.0</c:v>
                </c:pt>
                <c:pt idx="37">
                  <c:v>211.0</c:v>
                </c:pt>
                <c:pt idx="38">
                  <c:v>206.0</c:v>
                </c:pt>
                <c:pt idx="39">
                  <c:v>207.0</c:v>
                </c:pt>
                <c:pt idx="40">
                  <c:v>197.0</c:v>
                </c:pt>
                <c:pt idx="41">
                  <c:v>192.0</c:v>
                </c:pt>
                <c:pt idx="42">
                  <c:v>186.0</c:v>
                </c:pt>
                <c:pt idx="43">
                  <c:v>186.0</c:v>
                </c:pt>
                <c:pt idx="44">
                  <c:v>192.0</c:v>
                </c:pt>
                <c:pt idx="45">
                  <c:v>207.0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Sheet1!$C$2:$C$47</c:f>
              <c:numCache>
                <c:formatCode>General</c:formatCode>
                <c:ptCount val="46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  <c:pt idx="33">
                  <c:v>179.0</c:v>
                </c:pt>
                <c:pt idx="35">
                  <c:v>226.0</c:v>
                </c:pt>
                <c:pt idx="36">
                  <c:v>159.0</c:v>
                </c:pt>
                <c:pt idx="37">
                  <c:v>182.0</c:v>
                </c:pt>
                <c:pt idx="38">
                  <c:v>165.0</c:v>
                </c:pt>
                <c:pt idx="39">
                  <c:v>165.0</c:v>
                </c:pt>
                <c:pt idx="40">
                  <c:v>167.0</c:v>
                </c:pt>
                <c:pt idx="41">
                  <c:v>150.0</c:v>
                </c:pt>
                <c:pt idx="42">
                  <c:v>154.0</c:v>
                </c:pt>
                <c:pt idx="44">
                  <c:v>205.0</c:v>
                </c:pt>
                <c:pt idx="45">
                  <c:v>144.0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Sheet1!$D$2:$D$47</c:f>
              <c:numCache>
                <c:formatCode>General</c:formatCode>
                <c:ptCount val="46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  <c:pt idx="32">
                  <c:v>182.0</c:v>
                </c:pt>
                <c:pt idx="33">
                  <c:v>180.0</c:v>
                </c:pt>
                <c:pt idx="34">
                  <c:v>178.0</c:v>
                </c:pt>
                <c:pt idx="35">
                  <c:v>178.0</c:v>
                </c:pt>
                <c:pt idx="36">
                  <c:v>186.0</c:v>
                </c:pt>
                <c:pt idx="37">
                  <c:v>192.0</c:v>
                </c:pt>
                <c:pt idx="38">
                  <c:v>187.0</c:v>
                </c:pt>
                <c:pt idx="39">
                  <c:v>179.0</c:v>
                </c:pt>
                <c:pt idx="40">
                  <c:v>178.0</c:v>
                </c:pt>
                <c:pt idx="41">
                  <c:v>181.0</c:v>
                </c:pt>
                <c:pt idx="42">
                  <c:v>180.0</c:v>
                </c:pt>
                <c:pt idx="43">
                  <c:v>186.0</c:v>
                </c:pt>
                <c:pt idx="44">
                  <c:v>174.0</c:v>
                </c:pt>
                <c:pt idx="45">
                  <c:v>178.0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Sheet1!$E$2:$E$47</c:f>
              <c:numCache>
                <c:formatCode>General</c:formatCode>
                <c:ptCount val="46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  <c:pt idx="32">
                  <c:v>255.0</c:v>
                </c:pt>
                <c:pt idx="33">
                  <c:v>258.0</c:v>
                </c:pt>
                <c:pt idx="34">
                  <c:v>260.0</c:v>
                </c:pt>
                <c:pt idx="35">
                  <c:v>261.0</c:v>
                </c:pt>
                <c:pt idx="36">
                  <c:v>261.0</c:v>
                </c:pt>
                <c:pt idx="37">
                  <c:v>247.0</c:v>
                </c:pt>
                <c:pt idx="38">
                  <c:v>240.0</c:v>
                </c:pt>
                <c:pt idx="39">
                  <c:v>241.0</c:v>
                </c:pt>
                <c:pt idx="40">
                  <c:v>239.0</c:v>
                </c:pt>
                <c:pt idx="42">
                  <c:v>232.0</c:v>
                </c:pt>
                <c:pt idx="43">
                  <c:v>229.0</c:v>
                </c:pt>
                <c:pt idx="44">
                  <c:v>217.0</c:v>
                </c:pt>
                <c:pt idx="45">
                  <c:v>218.0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Sheet1!$F$2:$F$47</c:f>
              <c:numCache>
                <c:formatCode>General</c:formatCode>
                <c:ptCount val="46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  <c:pt idx="32">
                  <c:v>199.0</c:v>
                </c:pt>
                <c:pt idx="33">
                  <c:v>197.0</c:v>
                </c:pt>
                <c:pt idx="34">
                  <c:v>190.0</c:v>
                </c:pt>
                <c:pt idx="35">
                  <c:v>215.0</c:v>
                </c:pt>
                <c:pt idx="36">
                  <c:v>206.0</c:v>
                </c:pt>
                <c:pt idx="38">
                  <c:v>221.0</c:v>
                </c:pt>
                <c:pt idx="39">
                  <c:v>239.0</c:v>
                </c:pt>
                <c:pt idx="40">
                  <c:v>230.0</c:v>
                </c:pt>
                <c:pt idx="41">
                  <c:v>217.0</c:v>
                </c:pt>
                <c:pt idx="42">
                  <c:v>208.0</c:v>
                </c:pt>
                <c:pt idx="43">
                  <c:v>200.0</c:v>
                </c:pt>
                <c:pt idx="44">
                  <c:v>213.0</c:v>
                </c:pt>
                <c:pt idx="45">
                  <c:v>198.0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Sheet1!$G$2:$G$47</c:f>
              <c:numCache>
                <c:formatCode>General</c:formatCode>
                <c:ptCount val="46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  <c:pt idx="32">
                  <c:v>423.0</c:v>
                </c:pt>
                <c:pt idx="33">
                  <c:v>412.0</c:v>
                </c:pt>
                <c:pt idx="35">
                  <c:v>378.0</c:v>
                </c:pt>
                <c:pt idx="36">
                  <c:v>389.0</c:v>
                </c:pt>
                <c:pt idx="37">
                  <c:v>374.0</c:v>
                </c:pt>
                <c:pt idx="38">
                  <c:v>352.0</c:v>
                </c:pt>
                <c:pt idx="39">
                  <c:v>349.0</c:v>
                </c:pt>
                <c:pt idx="40">
                  <c:v>334.0</c:v>
                </c:pt>
                <c:pt idx="41">
                  <c:v>352.0</c:v>
                </c:pt>
                <c:pt idx="42">
                  <c:v>352.0</c:v>
                </c:pt>
                <c:pt idx="43">
                  <c:v>355.0</c:v>
                </c:pt>
                <c:pt idx="44">
                  <c:v>351.0</c:v>
                </c:pt>
                <c:pt idx="45">
                  <c:v>362.0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8007480"/>
        <c:axId val="-2127332008"/>
      </c:lineChart>
      <c:catAx>
        <c:axId val="-2108007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27332008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-2127332008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80074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207.0</c:v>
                </c:pt>
                <c:pt idx="1">
                  <c:v>144.0</c:v>
                </c:pt>
                <c:pt idx="2">
                  <c:v>178.0</c:v>
                </c:pt>
                <c:pt idx="3">
                  <c:v>218.0</c:v>
                </c:pt>
                <c:pt idx="4">
                  <c:v>198.0</c:v>
                </c:pt>
                <c:pt idx="5">
                  <c:v>362.0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335.0</c:v>
                </c:pt>
                <c:pt idx="1">
                  <c:v>250.0</c:v>
                </c:pt>
                <c:pt idx="2">
                  <c:v>202.0</c:v>
                </c:pt>
                <c:pt idx="3">
                  <c:v>360.0</c:v>
                </c:pt>
                <c:pt idx="4">
                  <c:v>220.0</c:v>
                </c:pt>
                <c:pt idx="5">
                  <c:v>343.0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4175752"/>
        <c:axId val="-2130223256"/>
      </c:barChart>
      <c:catAx>
        <c:axId val="-2104175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30223256"/>
        <c:crosses val="autoZero"/>
        <c:auto val="1"/>
        <c:lblAlgn val="ctr"/>
        <c:lblOffset val="100"/>
        <c:noMultiLvlLbl val="0"/>
      </c:catAx>
      <c:valAx>
        <c:axId val="-213022325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041757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255.0</c:v>
                </c:pt>
                <c:pt idx="1">
                  <c:v>189.0</c:v>
                </c:pt>
                <c:pt idx="2">
                  <c:v>198.0</c:v>
                </c:pt>
                <c:pt idx="3">
                  <c:v>277.0</c:v>
                </c:pt>
                <c:pt idx="4">
                  <c:v>210.0</c:v>
                </c:pt>
                <c:pt idx="5">
                  <c:v>340.0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306.0</c:v>
                </c:pt>
                <c:pt idx="1">
                  <c:v>179.0</c:v>
                </c:pt>
                <c:pt idx="2">
                  <c:v>201.0</c:v>
                </c:pt>
                <c:pt idx="3">
                  <c:v>265.0</c:v>
                </c:pt>
                <c:pt idx="4">
                  <c:v>194.0</c:v>
                </c:pt>
                <c:pt idx="5">
                  <c:v>315.0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9368200"/>
        <c:axId val="2139235176"/>
      </c:barChart>
      <c:catAx>
        <c:axId val="2139368200"/>
        <c:scaling>
          <c:orientation val="minMax"/>
        </c:scaling>
        <c:delete val="0"/>
        <c:axPos val="b"/>
        <c:majorTickMark val="out"/>
        <c:minorTickMark val="none"/>
        <c:tickLblPos val="nextTo"/>
        <c:crossAx val="2139235176"/>
        <c:crosses val="autoZero"/>
        <c:auto val="1"/>
        <c:lblAlgn val="ctr"/>
        <c:lblOffset val="100"/>
        <c:noMultiLvlLbl val="0"/>
      </c:catAx>
      <c:valAx>
        <c:axId val="213923517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93682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52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6</cp:revision>
  <dcterms:created xsi:type="dcterms:W3CDTF">2013-11-14T20:54:00Z</dcterms:created>
  <dcterms:modified xsi:type="dcterms:W3CDTF">2013-12-03T16:55:00Z</dcterms:modified>
</cp:coreProperties>
</file>