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B8D28D2" w:rsidR="004C0084" w:rsidRPr="004C0084" w:rsidRDefault="00FE5213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51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>Dec. 16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>20</w:t>
      </w:r>
      <w:r w:rsidR="00310D36">
        <w:rPr>
          <w:sz w:val="38"/>
          <w:szCs w:val="38"/>
          <w:u w:val="single"/>
        </w:rPr>
        <w:t>, 2013</w:t>
      </w:r>
    </w:p>
    <w:p w14:paraId="73BC8722" w14:textId="7EFC1181" w:rsidR="00AA34A2" w:rsidRDefault="00FE5213">
      <w:r>
        <w:rPr>
          <w:noProof/>
        </w:rPr>
        <w:drawing>
          <wp:inline distT="0" distB="0" distL="0" distR="0" wp14:anchorId="27386F56" wp14:editId="0D15FC16">
            <wp:extent cx="9601200" cy="36068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E849771" w:rsidR="00B51354" w:rsidRPr="00AA2F1F" w:rsidRDefault="00B51354" w:rsidP="00E01DCE">
      <w:r>
        <w:t xml:space="preserve">    </w:t>
      </w:r>
      <w:bookmarkStart w:id="0" w:name="_GoBack"/>
      <w:r w:rsidR="003372C7">
        <w:rPr>
          <w:noProof/>
        </w:rPr>
        <w:drawing>
          <wp:inline distT="0" distB="0" distL="0" distR="0" wp14:anchorId="1FB2A252" wp14:editId="5E96E0BC">
            <wp:extent cx="46609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  <w:r>
        <w:t xml:space="preserve">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5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Sheet1!$B$2:$B$52</c:f>
              <c:numCache>
                <c:formatCode>General</c:formatCode>
                <c:ptCount val="51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  <c:pt idx="45">
                  <c:v>207.0</c:v>
                </c:pt>
                <c:pt idx="46">
                  <c:v>222.0</c:v>
                </c:pt>
                <c:pt idx="47">
                  <c:v>220.0</c:v>
                </c:pt>
                <c:pt idx="48">
                  <c:v>218.0</c:v>
                </c:pt>
                <c:pt idx="49">
                  <c:v>223.0</c:v>
                </c:pt>
                <c:pt idx="50">
                  <c:v>238.0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Sheet1!$C$2:$C$52</c:f>
              <c:numCache>
                <c:formatCode>General</c:formatCode>
                <c:ptCount val="51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  <c:pt idx="45">
                  <c:v>144.0</c:v>
                </c:pt>
                <c:pt idx="46">
                  <c:v>141.0</c:v>
                </c:pt>
                <c:pt idx="47">
                  <c:v>155.0</c:v>
                </c:pt>
                <c:pt idx="48">
                  <c:v>147.0</c:v>
                </c:pt>
                <c:pt idx="49">
                  <c:v>149.0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Sheet1!$D$2:$D$52</c:f>
              <c:numCache>
                <c:formatCode>General</c:formatCode>
                <c:ptCount val="51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  <c:pt idx="45">
                  <c:v>178.0</c:v>
                </c:pt>
                <c:pt idx="46">
                  <c:v>180.0</c:v>
                </c:pt>
                <c:pt idx="47">
                  <c:v>179.0</c:v>
                </c:pt>
                <c:pt idx="48">
                  <c:v>182.0</c:v>
                </c:pt>
                <c:pt idx="49">
                  <c:v>183.0</c:v>
                </c:pt>
                <c:pt idx="50">
                  <c:v>189.0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Sheet1!$E$2:$E$52</c:f>
              <c:numCache>
                <c:formatCode>General</c:formatCode>
                <c:ptCount val="51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  <c:pt idx="45">
                  <c:v>218.0</c:v>
                </c:pt>
                <c:pt idx="46">
                  <c:v>213.0</c:v>
                </c:pt>
                <c:pt idx="47">
                  <c:v>219.0</c:v>
                </c:pt>
                <c:pt idx="48">
                  <c:v>209.0</c:v>
                </c:pt>
                <c:pt idx="49">
                  <c:v>200.0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Sheet1!$F$2:$F$52</c:f>
              <c:numCache>
                <c:formatCode>General</c:formatCode>
                <c:ptCount val="51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  <c:pt idx="45">
                  <c:v>198.0</c:v>
                </c:pt>
                <c:pt idx="46">
                  <c:v>207.0</c:v>
                </c:pt>
                <c:pt idx="47">
                  <c:v>225.0</c:v>
                </c:pt>
                <c:pt idx="48">
                  <c:v>208.0</c:v>
                </c:pt>
                <c:pt idx="49">
                  <c:v>200.0</c:v>
                </c:pt>
                <c:pt idx="50">
                  <c:v>200.0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Sheet1!$A$2:$A$52</c:f>
              <c:numCache>
                <c:formatCode>General</c:formatCode>
                <c:ptCount val="5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</c:numCache>
            </c:numRef>
          </c:cat>
          <c:val>
            <c:numRef>
              <c:f>Sheet1!$G$2:$G$52</c:f>
              <c:numCache>
                <c:formatCode>General</c:formatCode>
                <c:ptCount val="51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  <c:pt idx="45">
                  <c:v>362.0</c:v>
                </c:pt>
                <c:pt idx="46">
                  <c:v>347.0</c:v>
                </c:pt>
                <c:pt idx="47">
                  <c:v>344.0</c:v>
                </c:pt>
                <c:pt idx="48">
                  <c:v>346.0</c:v>
                </c:pt>
                <c:pt idx="49">
                  <c:v>331.0</c:v>
                </c:pt>
                <c:pt idx="50">
                  <c:v>335.0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13793400"/>
        <c:axId val="-2091424168"/>
      </c:lineChart>
      <c:catAx>
        <c:axId val="-2113793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9142416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91424168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13793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238.0</c:v>
                </c:pt>
                <c:pt idx="2">
                  <c:v>189.0</c:v>
                </c:pt>
                <c:pt idx="4">
                  <c:v>200.0</c:v>
                </c:pt>
                <c:pt idx="5">
                  <c:v>335.0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342.0</c:v>
                </c:pt>
                <c:pt idx="1">
                  <c:v>237.0</c:v>
                </c:pt>
                <c:pt idx="2">
                  <c:v>218.0</c:v>
                </c:pt>
                <c:pt idx="3">
                  <c:v>360.0</c:v>
                </c:pt>
                <c:pt idx="4">
                  <c:v>206.0</c:v>
                </c:pt>
                <c:pt idx="5">
                  <c:v>384.0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3359880"/>
        <c:axId val="-2094850072"/>
      </c:barChart>
      <c:catAx>
        <c:axId val="-2093359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94850072"/>
        <c:crosses val="autoZero"/>
        <c:auto val="1"/>
        <c:lblAlgn val="ctr"/>
        <c:lblOffset val="100"/>
        <c:noMultiLvlLbl val="0"/>
      </c:catAx>
      <c:valAx>
        <c:axId val="-209485007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933598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9368088"/>
        <c:axId val="-2089365112"/>
      </c:barChart>
      <c:catAx>
        <c:axId val="-20893680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9365112"/>
        <c:crosses val="autoZero"/>
        <c:auto val="1"/>
        <c:lblAlgn val="ctr"/>
        <c:lblOffset val="100"/>
        <c:noMultiLvlLbl val="0"/>
      </c:catAx>
      <c:valAx>
        <c:axId val="-208936511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9368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2013-12-20T21:10:00Z</dcterms:created>
  <dcterms:modified xsi:type="dcterms:W3CDTF">2013-12-20T21:11:00Z</dcterms:modified>
</cp:coreProperties>
</file>