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311D3443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3F2B4D">
        <w:rPr>
          <w:sz w:val="38"/>
          <w:szCs w:val="38"/>
          <w:u w:val="single"/>
        </w:rPr>
        <w:t>11</w:t>
      </w:r>
      <w:r w:rsidR="00C550B9">
        <w:rPr>
          <w:sz w:val="38"/>
          <w:szCs w:val="38"/>
          <w:u w:val="single"/>
        </w:rPr>
        <w:t>:</w:t>
      </w:r>
      <w:r w:rsidR="00005AB0">
        <w:rPr>
          <w:sz w:val="38"/>
          <w:szCs w:val="38"/>
          <w:u w:val="single"/>
        </w:rPr>
        <w:t xml:space="preserve"> </w:t>
      </w:r>
      <w:r w:rsidR="00894163">
        <w:rPr>
          <w:sz w:val="38"/>
          <w:szCs w:val="38"/>
          <w:u w:val="single"/>
        </w:rPr>
        <w:t>March</w:t>
      </w:r>
      <w:r w:rsidR="00005AB0">
        <w:rPr>
          <w:sz w:val="38"/>
          <w:szCs w:val="38"/>
          <w:u w:val="single"/>
        </w:rPr>
        <w:t xml:space="preserve"> </w:t>
      </w:r>
      <w:r w:rsidR="003F2B4D">
        <w:rPr>
          <w:sz w:val="38"/>
          <w:szCs w:val="38"/>
          <w:u w:val="single"/>
        </w:rPr>
        <w:t>10-14</w:t>
      </w:r>
      <w:r w:rsidR="00310D36">
        <w:rPr>
          <w:sz w:val="38"/>
          <w:szCs w:val="38"/>
          <w:u w:val="single"/>
        </w:rPr>
        <w:t>, 201</w:t>
      </w:r>
      <w:r>
        <w:rPr>
          <w:sz w:val="38"/>
          <w:szCs w:val="38"/>
          <w:u w:val="single"/>
        </w:rPr>
        <w:t>4</w:t>
      </w:r>
    </w:p>
    <w:p w14:paraId="73BC8722" w14:textId="13EB1DC3" w:rsidR="00AA34A2" w:rsidRDefault="002620C0">
      <w:r>
        <w:rPr>
          <w:noProof/>
        </w:rPr>
        <w:drawing>
          <wp:inline distT="0" distB="0" distL="0" distR="0" wp14:anchorId="3DE17D09" wp14:editId="1B3BA604">
            <wp:extent cx="9601200" cy="3721100"/>
            <wp:effectExtent l="0" t="0" r="2540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14:paraId="229929B3" w14:textId="77777777" w:rsidR="00B51354" w:rsidRDefault="00B51354"/>
    <w:p w14:paraId="5DDA9ABE" w14:textId="70DB4D39" w:rsidR="00B51354" w:rsidRPr="00AA2F1F" w:rsidRDefault="00462756" w:rsidP="00E01DCE">
      <w:r>
        <w:rPr>
          <w:noProof/>
        </w:rPr>
        <w:drawing>
          <wp:inline distT="0" distB="0" distL="0" distR="0" wp14:anchorId="282E7F2F" wp14:editId="643A4BF4">
            <wp:extent cx="4572000" cy="30734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51354">
        <w:t xml:space="preserve">            </w:t>
      </w:r>
      <w:r w:rsidR="003F2B4D">
        <w:rPr>
          <w:noProof/>
        </w:rPr>
        <w:drawing>
          <wp:inline distT="0" distB="0" distL="0" distR="0" wp14:anchorId="1AF64A69" wp14:editId="058911BA">
            <wp:extent cx="4572000" cy="3048000"/>
            <wp:effectExtent l="0" t="0" r="25400" b="254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05AB0"/>
    <w:rsid w:val="00037692"/>
    <w:rsid w:val="00053C74"/>
    <w:rsid w:val="000A0370"/>
    <w:rsid w:val="000E16F9"/>
    <w:rsid w:val="000F4269"/>
    <w:rsid w:val="000F7E82"/>
    <w:rsid w:val="00104A9E"/>
    <w:rsid w:val="001472F2"/>
    <w:rsid w:val="0015685A"/>
    <w:rsid w:val="00165633"/>
    <w:rsid w:val="00180BA0"/>
    <w:rsid w:val="00180F2E"/>
    <w:rsid w:val="001A2A7A"/>
    <w:rsid w:val="001B3027"/>
    <w:rsid w:val="001C397C"/>
    <w:rsid w:val="001D0F9B"/>
    <w:rsid w:val="001E2DB0"/>
    <w:rsid w:val="002112DF"/>
    <w:rsid w:val="00224736"/>
    <w:rsid w:val="002250A4"/>
    <w:rsid w:val="00237BA4"/>
    <w:rsid w:val="00241756"/>
    <w:rsid w:val="00254C06"/>
    <w:rsid w:val="002620C0"/>
    <w:rsid w:val="00276A12"/>
    <w:rsid w:val="002932DC"/>
    <w:rsid w:val="002A16D1"/>
    <w:rsid w:val="002A64CF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42D66"/>
    <w:rsid w:val="003747B5"/>
    <w:rsid w:val="003A4ABE"/>
    <w:rsid w:val="003A7945"/>
    <w:rsid w:val="003B5A10"/>
    <w:rsid w:val="003F2B4D"/>
    <w:rsid w:val="004100BF"/>
    <w:rsid w:val="0043231D"/>
    <w:rsid w:val="004323E4"/>
    <w:rsid w:val="00454335"/>
    <w:rsid w:val="00462756"/>
    <w:rsid w:val="0049396F"/>
    <w:rsid w:val="004C0082"/>
    <w:rsid w:val="004C0084"/>
    <w:rsid w:val="004C5896"/>
    <w:rsid w:val="00505163"/>
    <w:rsid w:val="005238D1"/>
    <w:rsid w:val="00590B53"/>
    <w:rsid w:val="005C7922"/>
    <w:rsid w:val="005D6D5E"/>
    <w:rsid w:val="006124F3"/>
    <w:rsid w:val="0061734A"/>
    <w:rsid w:val="00646007"/>
    <w:rsid w:val="00651CF7"/>
    <w:rsid w:val="00657865"/>
    <w:rsid w:val="00662A00"/>
    <w:rsid w:val="006879D4"/>
    <w:rsid w:val="006906ED"/>
    <w:rsid w:val="006B4380"/>
    <w:rsid w:val="006C32F7"/>
    <w:rsid w:val="006D0DDF"/>
    <w:rsid w:val="006E54AD"/>
    <w:rsid w:val="007142CD"/>
    <w:rsid w:val="007222AA"/>
    <w:rsid w:val="00741945"/>
    <w:rsid w:val="007819C6"/>
    <w:rsid w:val="00790CFE"/>
    <w:rsid w:val="007D12FC"/>
    <w:rsid w:val="00804BCF"/>
    <w:rsid w:val="00816C6E"/>
    <w:rsid w:val="00863E8F"/>
    <w:rsid w:val="00894163"/>
    <w:rsid w:val="00897B0A"/>
    <w:rsid w:val="00915A81"/>
    <w:rsid w:val="00915C37"/>
    <w:rsid w:val="009244FC"/>
    <w:rsid w:val="00957379"/>
    <w:rsid w:val="0096653A"/>
    <w:rsid w:val="0096744F"/>
    <w:rsid w:val="009A4BBB"/>
    <w:rsid w:val="009A7506"/>
    <w:rsid w:val="009C63B2"/>
    <w:rsid w:val="009D1B08"/>
    <w:rsid w:val="009D4F56"/>
    <w:rsid w:val="009F50EA"/>
    <w:rsid w:val="009F632B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031B"/>
    <w:rsid w:val="00B03BB0"/>
    <w:rsid w:val="00B249DD"/>
    <w:rsid w:val="00B51354"/>
    <w:rsid w:val="00B5573C"/>
    <w:rsid w:val="00B91D21"/>
    <w:rsid w:val="00BC1D29"/>
    <w:rsid w:val="00BE5255"/>
    <w:rsid w:val="00BF695E"/>
    <w:rsid w:val="00C17A62"/>
    <w:rsid w:val="00C3231E"/>
    <w:rsid w:val="00C3696A"/>
    <w:rsid w:val="00C550B9"/>
    <w:rsid w:val="00C85FF1"/>
    <w:rsid w:val="00C92A30"/>
    <w:rsid w:val="00CB743D"/>
    <w:rsid w:val="00CE16DC"/>
    <w:rsid w:val="00CF7575"/>
    <w:rsid w:val="00D200D7"/>
    <w:rsid w:val="00D5213B"/>
    <w:rsid w:val="00D66DA3"/>
    <w:rsid w:val="00D71682"/>
    <w:rsid w:val="00DD7632"/>
    <w:rsid w:val="00DF0383"/>
    <w:rsid w:val="00DF7D64"/>
    <w:rsid w:val="00E01DCE"/>
    <w:rsid w:val="00E62DC3"/>
    <w:rsid w:val="00E85525"/>
    <w:rsid w:val="00EA04ED"/>
    <w:rsid w:val="00EA33E2"/>
    <w:rsid w:val="00EB1BE4"/>
    <w:rsid w:val="00EB6DBC"/>
    <w:rsid w:val="00EC1D73"/>
    <w:rsid w:val="00F04F1C"/>
    <w:rsid w:val="00F068B9"/>
    <w:rsid w:val="00F20048"/>
    <w:rsid w:val="00F2071A"/>
    <w:rsid w:val="00F25E6C"/>
    <w:rsid w:val="00F2736D"/>
    <w:rsid w:val="00F30216"/>
    <w:rsid w:val="00F364C9"/>
    <w:rsid w:val="00FA3750"/>
    <w:rsid w:val="00FA476A"/>
    <w:rsid w:val="00FB111F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4%20Market%20Reports:2014%20Auction%20Prices%20wk%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2014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Sheet1!$B$2:$B$19</c:f>
              <c:numCache>
                <c:formatCode>General</c:formatCode>
                <c:ptCount val="18"/>
                <c:pt idx="1">
                  <c:v>249.0</c:v>
                </c:pt>
                <c:pt idx="2">
                  <c:v>262.0</c:v>
                </c:pt>
                <c:pt idx="3">
                  <c:v>256.0</c:v>
                </c:pt>
                <c:pt idx="4">
                  <c:v>235.0</c:v>
                </c:pt>
                <c:pt idx="5">
                  <c:v>226.0</c:v>
                </c:pt>
                <c:pt idx="6">
                  <c:v>211.0</c:v>
                </c:pt>
                <c:pt idx="7">
                  <c:v>215.0</c:v>
                </c:pt>
                <c:pt idx="8">
                  <c:v>222.0</c:v>
                </c:pt>
                <c:pt idx="9">
                  <c:v>211.0</c:v>
                </c:pt>
                <c:pt idx="10">
                  <c:v>205.0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Sheet1!$C$2:$C$19</c:f>
              <c:numCache>
                <c:formatCode>General</c:formatCode>
                <c:ptCount val="18"/>
                <c:pt idx="0">
                  <c:v>149.0</c:v>
                </c:pt>
                <c:pt idx="1">
                  <c:v>149.0</c:v>
                </c:pt>
                <c:pt idx="2">
                  <c:v>149.0</c:v>
                </c:pt>
                <c:pt idx="3">
                  <c:v>149.0</c:v>
                </c:pt>
                <c:pt idx="4">
                  <c:v>149.0</c:v>
                </c:pt>
                <c:pt idx="5">
                  <c:v>154.0</c:v>
                </c:pt>
                <c:pt idx="6">
                  <c:v>152.0</c:v>
                </c:pt>
                <c:pt idx="7">
                  <c:v>150.0</c:v>
                </c:pt>
                <c:pt idx="8">
                  <c:v>143.0</c:v>
                </c:pt>
                <c:pt idx="9">
                  <c:v>143.0</c:v>
                </c:pt>
                <c:pt idx="10">
                  <c:v>143.0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Sheet1!$D$2:$D$19</c:f>
              <c:numCache>
                <c:formatCode>General</c:formatCode>
                <c:ptCount val="18"/>
                <c:pt idx="1">
                  <c:v>188.0</c:v>
                </c:pt>
                <c:pt idx="2">
                  <c:v>193.0</c:v>
                </c:pt>
                <c:pt idx="3">
                  <c:v>210.0</c:v>
                </c:pt>
                <c:pt idx="4">
                  <c:v>182.0</c:v>
                </c:pt>
                <c:pt idx="5">
                  <c:v>181.0</c:v>
                </c:pt>
                <c:pt idx="6">
                  <c:v>182.0</c:v>
                </c:pt>
                <c:pt idx="7">
                  <c:v>176.0</c:v>
                </c:pt>
                <c:pt idx="8">
                  <c:v>171.0</c:v>
                </c:pt>
                <c:pt idx="9">
                  <c:v>177.0</c:v>
                </c:pt>
                <c:pt idx="10">
                  <c:v>164.0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Sheet1!$E$2:$E$19</c:f>
              <c:numCache>
                <c:formatCode>General</c:formatCode>
                <c:ptCount val="18"/>
                <c:pt idx="1">
                  <c:v>215.0</c:v>
                </c:pt>
                <c:pt idx="2">
                  <c:v>208.0</c:v>
                </c:pt>
                <c:pt idx="3">
                  <c:v>201.0</c:v>
                </c:pt>
                <c:pt idx="4">
                  <c:v>188.0</c:v>
                </c:pt>
                <c:pt idx="5">
                  <c:v>191.0</c:v>
                </c:pt>
                <c:pt idx="6">
                  <c:v>188.0</c:v>
                </c:pt>
                <c:pt idx="7">
                  <c:v>189.0</c:v>
                </c:pt>
                <c:pt idx="9">
                  <c:v>188.0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Sheet1!$F$2:$F$19</c:f>
              <c:numCache>
                <c:formatCode>General</c:formatCode>
                <c:ptCount val="18"/>
                <c:pt idx="0">
                  <c:v>183.0</c:v>
                </c:pt>
                <c:pt idx="1">
                  <c:v>192.0</c:v>
                </c:pt>
                <c:pt idx="2">
                  <c:v>175.0</c:v>
                </c:pt>
                <c:pt idx="3">
                  <c:v>166.0</c:v>
                </c:pt>
                <c:pt idx="4">
                  <c:v>167.0</c:v>
                </c:pt>
                <c:pt idx="5">
                  <c:v>175.0</c:v>
                </c:pt>
                <c:pt idx="6">
                  <c:v>170.0</c:v>
                </c:pt>
                <c:pt idx="7">
                  <c:v>175.0</c:v>
                </c:pt>
                <c:pt idx="8">
                  <c:v>167.0</c:v>
                </c:pt>
                <c:pt idx="9">
                  <c:v>167.0</c:v>
                </c:pt>
                <c:pt idx="10">
                  <c:v>156.0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Sheet1!$G$2:$G$19</c:f>
              <c:numCache>
                <c:formatCode>General</c:formatCode>
                <c:ptCount val="18"/>
                <c:pt idx="1">
                  <c:v>343.0</c:v>
                </c:pt>
                <c:pt idx="2">
                  <c:v>352.0</c:v>
                </c:pt>
                <c:pt idx="3">
                  <c:v>347.0</c:v>
                </c:pt>
                <c:pt idx="4">
                  <c:v>354.0</c:v>
                </c:pt>
                <c:pt idx="5">
                  <c:v>340.0</c:v>
                </c:pt>
                <c:pt idx="6">
                  <c:v>344.0</c:v>
                </c:pt>
                <c:pt idx="7">
                  <c:v>363.0</c:v>
                </c:pt>
                <c:pt idx="8">
                  <c:v>379.0</c:v>
                </c:pt>
                <c:pt idx="9">
                  <c:v>266.0</c:v>
                </c:pt>
                <c:pt idx="10">
                  <c:v>379.0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5893496"/>
        <c:axId val="2105876520"/>
      </c:lineChart>
      <c:catAx>
        <c:axId val="2105893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105876520"/>
        <c:crosses val="autoZero"/>
        <c:auto val="1"/>
        <c:lblAlgn val="ctr"/>
        <c:lblOffset val="100"/>
        <c:noMultiLvlLbl val="0"/>
      </c:catAx>
      <c:valAx>
        <c:axId val="21058765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058934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205.0</c:v>
                </c:pt>
                <c:pt idx="1">
                  <c:v>143.0</c:v>
                </c:pt>
                <c:pt idx="2">
                  <c:v>164.0</c:v>
                </c:pt>
                <c:pt idx="4">
                  <c:v>156.0</c:v>
                </c:pt>
                <c:pt idx="5">
                  <c:v>379.0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294.0</c:v>
                </c:pt>
                <c:pt idx="1">
                  <c:v>165.0</c:v>
                </c:pt>
                <c:pt idx="2">
                  <c:v>182.0</c:v>
                </c:pt>
                <c:pt idx="4">
                  <c:v>172.0</c:v>
                </c:pt>
                <c:pt idx="5">
                  <c:v>298.0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6660888"/>
        <c:axId val="2146497704"/>
      </c:barChart>
      <c:catAx>
        <c:axId val="2146660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2146497704"/>
        <c:crosses val="autoZero"/>
        <c:auto val="1"/>
        <c:lblAlgn val="ctr"/>
        <c:lblOffset val="100"/>
        <c:noMultiLvlLbl val="0"/>
      </c:catAx>
      <c:valAx>
        <c:axId val="2146497704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466608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229.0</c:v>
                </c:pt>
                <c:pt idx="1">
                  <c:v>148.0</c:v>
                </c:pt>
                <c:pt idx="2">
                  <c:v>182.0</c:v>
                </c:pt>
                <c:pt idx="3">
                  <c:v>197.0</c:v>
                </c:pt>
                <c:pt idx="4">
                  <c:v>173.0</c:v>
                </c:pt>
                <c:pt idx="5">
                  <c:v>347.0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319.0</c:v>
                </c:pt>
                <c:pt idx="1">
                  <c:v>202.0</c:v>
                </c:pt>
                <c:pt idx="2">
                  <c:v>224.0</c:v>
                </c:pt>
                <c:pt idx="3">
                  <c:v>278.0</c:v>
                </c:pt>
                <c:pt idx="4">
                  <c:v>206.0</c:v>
                </c:pt>
                <c:pt idx="5">
                  <c:v>362.0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2520216"/>
        <c:axId val="2108835336"/>
      </c:barChart>
      <c:catAx>
        <c:axId val="2132520216"/>
        <c:scaling>
          <c:orientation val="minMax"/>
        </c:scaling>
        <c:delete val="0"/>
        <c:axPos val="b"/>
        <c:majorTickMark val="out"/>
        <c:minorTickMark val="none"/>
        <c:tickLblPos val="nextTo"/>
        <c:crossAx val="2108835336"/>
        <c:crosses val="autoZero"/>
        <c:auto val="1"/>
        <c:lblAlgn val="ctr"/>
        <c:lblOffset val="100"/>
        <c:noMultiLvlLbl val="0"/>
      </c:catAx>
      <c:valAx>
        <c:axId val="2108835336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2520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7</cp:revision>
  <dcterms:created xsi:type="dcterms:W3CDTF">2014-03-21T20:05:00Z</dcterms:created>
  <dcterms:modified xsi:type="dcterms:W3CDTF">2014-04-28T19:34:00Z</dcterms:modified>
</cp:coreProperties>
</file>