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53F037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8620E">
        <w:rPr>
          <w:sz w:val="38"/>
          <w:szCs w:val="38"/>
          <w:u w:val="single"/>
        </w:rPr>
        <w:t>16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12FBA">
        <w:rPr>
          <w:sz w:val="38"/>
          <w:szCs w:val="38"/>
          <w:u w:val="single"/>
        </w:rPr>
        <w:t>April 14-18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5B1D18D5" w:rsidR="00AA34A2" w:rsidRDefault="00B25E7F">
      <w:r>
        <w:rPr>
          <w:noProof/>
        </w:rPr>
        <w:drawing>
          <wp:inline distT="0" distB="0" distL="0" distR="0" wp14:anchorId="064E8038" wp14:editId="66897124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9D7FC2F" w:rsidR="00B51354" w:rsidRPr="00AA2F1F" w:rsidRDefault="00B25E7F" w:rsidP="00E01DCE">
      <w:r>
        <w:rPr>
          <w:noProof/>
        </w:rPr>
        <w:drawing>
          <wp:inline distT="0" distB="0" distL="0" distR="0" wp14:anchorId="3647415C" wp14:editId="74542C4F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0DF25305" wp14:editId="3084B53F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5DFE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25E7F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7423672"/>
        <c:axId val="-2127260216"/>
      </c:lineChart>
      <c:catAx>
        <c:axId val="-2127423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27260216"/>
        <c:crosses val="autoZero"/>
        <c:auto val="1"/>
        <c:lblAlgn val="ctr"/>
        <c:lblOffset val="100"/>
        <c:noMultiLvlLbl val="0"/>
      </c:catAx>
      <c:valAx>
        <c:axId val="-2127260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7423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218.0</c:v>
                </c:pt>
                <c:pt idx="1">
                  <c:v>144.0</c:v>
                </c:pt>
                <c:pt idx="2">
                  <c:v>165.0</c:v>
                </c:pt>
                <c:pt idx="3">
                  <c:v>221.0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243.0</c:v>
                </c:pt>
                <c:pt idx="1">
                  <c:v>197.0</c:v>
                </c:pt>
                <c:pt idx="2">
                  <c:v>208.0</c:v>
                </c:pt>
                <c:pt idx="4">
                  <c:v>208.0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3088376"/>
        <c:axId val="-2083048424"/>
      </c:barChart>
      <c:catAx>
        <c:axId val="-2083088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3048424"/>
        <c:crosses val="autoZero"/>
        <c:auto val="1"/>
        <c:lblAlgn val="ctr"/>
        <c:lblOffset val="100"/>
        <c:noMultiLvlLbl val="0"/>
      </c:catAx>
      <c:valAx>
        <c:axId val="-208304842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3088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223.0</c:v>
                </c:pt>
                <c:pt idx="1">
                  <c:v>147.0</c:v>
                </c:pt>
                <c:pt idx="2">
                  <c:v>178.0</c:v>
                </c:pt>
                <c:pt idx="3">
                  <c:v>206.0</c:v>
                </c:pt>
                <c:pt idx="4">
                  <c:v>172.0</c:v>
                </c:pt>
                <c:pt idx="5">
                  <c:v>344.0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298.0</c:v>
                </c:pt>
                <c:pt idx="1">
                  <c:v>200.0</c:v>
                </c:pt>
                <c:pt idx="2">
                  <c:v>220.0</c:v>
                </c:pt>
                <c:pt idx="3">
                  <c:v>274.0</c:v>
                </c:pt>
                <c:pt idx="4">
                  <c:v>210.0</c:v>
                </c:pt>
                <c:pt idx="5">
                  <c:v>345.0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0219400"/>
        <c:axId val="-2081270056"/>
      </c:barChart>
      <c:catAx>
        <c:axId val="-208021940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1270056"/>
        <c:crosses val="autoZero"/>
        <c:auto val="1"/>
        <c:lblAlgn val="ctr"/>
        <c:lblOffset val="100"/>
        <c:noMultiLvlLbl val="0"/>
      </c:catAx>
      <c:valAx>
        <c:axId val="-208127005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0219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9</cp:revision>
  <dcterms:created xsi:type="dcterms:W3CDTF">2014-04-28T19:29:00Z</dcterms:created>
  <dcterms:modified xsi:type="dcterms:W3CDTF">2014-05-30T20:06:00Z</dcterms:modified>
</cp:coreProperties>
</file>