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C8722" w14:textId="2F311782" w:rsidR="00AA34A2" w:rsidRPr="00D60EFF" w:rsidRDefault="00A7202E" w:rsidP="00D60EFF">
      <w:pPr>
        <w:jc w:val="center"/>
        <w:rPr>
          <w:sz w:val="4"/>
          <w:szCs w:val="4"/>
          <w:u w:val="single"/>
        </w:rPr>
      </w:pPr>
      <w:r>
        <w:rPr>
          <w:sz w:val="38"/>
          <w:szCs w:val="38"/>
          <w:u w:val="single"/>
        </w:rPr>
        <w:t xml:space="preserve">Market Report Week </w:t>
      </w:r>
      <w:r w:rsidR="00473351">
        <w:rPr>
          <w:sz w:val="38"/>
          <w:szCs w:val="38"/>
          <w:u w:val="single"/>
        </w:rPr>
        <w:t>27</w:t>
      </w:r>
      <w:r w:rsidR="00C550B9">
        <w:rPr>
          <w:sz w:val="38"/>
          <w:szCs w:val="38"/>
          <w:u w:val="single"/>
        </w:rPr>
        <w:t>:</w:t>
      </w:r>
      <w:r w:rsidR="00005AB0">
        <w:rPr>
          <w:sz w:val="38"/>
          <w:szCs w:val="38"/>
          <w:u w:val="single"/>
        </w:rPr>
        <w:t xml:space="preserve"> </w:t>
      </w:r>
      <w:r w:rsidR="00473351">
        <w:rPr>
          <w:sz w:val="38"/>
          <w:szCs w:val="38"/>
          <w:u w:val="single"/>
        </w:rPr>
        <w:t>June 30</w:t>
      </w:r>
      <w:r w:rsidR="000E1299">
        <w:rPr>
          <w:sz w:val="38"/>
          <w:szCs w:val="38"/>
          <w:u w:val="single"/>
        </w:rPr>
        <w:t>-</w:t>
      </w:r>
      <w:r w:rsidR="00473351">
        <w:rPr>
          <w:sz w:val="38"/>
          <w:szCs w:val="38"/>
          <w:u w:val="single"/>
        </w:rPr>
        <w:t xml:space="preserve"> July 4</w:t>
      </w:r>
      <w:r w:rsidR="00310D36">
        <w:rPr>
          <w:sz w:val="38"/>
          <w:szCs w:val="38"/>
          <w:u w:val="single"/>
        </w:rPr>
        <w:t>, 201</w:t>
      </w:r>
      <w:r>
        <w:rPr>
          <w:sz w:val="38"/>
          <w:szCs w:val="38"/>
          <w:u w:val="single"/>
        </w:rPr>
        <w:t>4</w:t>
      </w:r>
    </w:p>
    <w:p w14:paraId="229929B3" w14:textId="2649F6A5" w:rsidR="00B51354" w:rsidRDefault="00B51354"/>
    <w:p w14:paraId="32AF5D96" w14:textId="7E87E87C" w:rsidR="006C7802" w:rsidRDefault="00473351">
      <w:r>
        <w:rPr>
          <w:noProof/>
        </w:rPr>
        <w:drawing>
          <wp:inline distT="0" distB="0" distL="0" distR="0" wp14:anchorId="3EEEE75D" wp14:editId="089CAB01">
            <wp:extent cx="9601200" cy="3543300"/>
            <wp:effectExtent l="0" t="0" r="25400" b="1270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D590C04" w14:textId="77777777" w:rsidR="00473351" w:rsidRDefault="00473351"/>
    <w:p w14:paraId="5DDA9ABE" w14:textId="33C2F858" w:rsidR="00B51354" w:rsidRPr="00AA2F1F" w:rsidRDefault="00473351" w:rsidP="00E01DCE">
      <w:r>
        <w:rPr>
          <w:noProof/>
        </w:rPr>
        <w:drawing>
          <wp:inline distT="0" distB="0" distL="0" distR="0" wp14:anchorId="570A0212" wp14:editId="1C20C7E4">
            <wp:extent cx="4572000" cy="3073400"/>
            <wp:effectExtent l="0" t="0" r="25400" b="254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B51354">
        <w:t xml:space="preserve">            </w:t>
      </w:r>
      <w:bookmarkStart w:id="0" w:name="_GoBack"/>
      <w:r>
        <w:rPr>
          <w:noProof/>
        </w:rPr>
        <w:drawing>
          <wp:inline distT="0" distB="0" distL="0" distR="0" wp14:anchorId="59BE10F3" wp14:editId="45FE07EF">
            <wp:extent cx="4572000" cy="3035300"/>
            <wp:effectExtent l="0" t="0" r="25400" b="1270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B51354" w:rsidRPr="00AA2F1F" w:rsidSect="00B51354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354"/>
    <w:rsid w:val="00005AB0"/>
    <w:rsid w:val="00011858"/>
    <w:rsid w:val="0003061E"/>
    <w:rsid w:val="00037692"/>
    <w:rsid w:val="00053C74"/>
    <w:rsid w:val="000A0370"/>
    <w:rsid w:val="000E1299"/>
    <w:rsid w:val="000E16F9"/>
    <w:rsid w:val="000E71B6"/>
    <w:rsid w:val="000F4269"/>
    <w:rsid w:val="000F7E82"/>
    <w:rsid w:val="00104A9E"/>
    <w:rsid w:val="001472F2"/>
    <w:rsid w:val="0015685A"/>
    <w:rsid w:val="00165633"/>
    <w:rsid w:val="00180BA0"/>
    <w:rsid w:val="00180F2E"/>
    <w:rsid w:val="001A2A7A"/>
    <w:rsid w:val="001B3027"/>
    <w:rsid w:val="001C056D"/>
    <w:rsid w:val="001C397C"/>
    <w:rsid w:val="001D0F9B"/>
    <w:rsid w:val="001D7455"/>
    <w:rsid w:val="001E2DB0"/>
    <w:rsid w:val="002112DF"/>
    <w:rsid w:val="00224736"/>
    <w:rsid w:val="002250A4"/>
    <w:rsid w:val="00237BA4"/>
    <w:rsid w:val="00241756"/>
    <w:rsid w:val="00254C06"/>
    <w:rsid w:val="00276A12"/>
    <w:rsid w:val="002932DC"/>
    <w:rsid w:val="002A16D1"/>
    <w:rsid w:val="002A64CF"/>
    <w:rsid w:val="002C0A7E"/>
    <w:rsid w:val="002D05E4"/>
    <w:rsid w:val="002E07A4"/>
    <w:rsid w:val="002E3BD6"/>
    <w:rsid w:val="002F55C0"/>
    <w:rsid w:val="00310D36"/>
    <w:rsid w:val="003164A8"/>
    <w:rsid w:val="0033235B"/>
    <w:rsid w:val="003372C7"/>
    <w:rsid w:val="00337F96"/>
    <w:rsid w:val="00342D66"/>
    <w:rsid w:val="00366AC9"/>
    <w:rsid w:val="003747B5"/>
    <w:rsid w:val="003A4ABE"/>
    <w:rsid w:val="003A7945"/>
    <w:rsid w:val="003B5A10"/>
    <w:rsid w:val="003C65E5"/>
    <w:rsid w:val="003F2B4D"/>
    <w:rsid w:val="004100BF"/>
    <w:rsid w:val="0043231D"/>
    <w:rsid w:val="004323E4"/>
    <w:rsid w:val="00454335"/>
    <w:rsid w:val="00462756"/>
    <w:rsid w:val="00473351"/>
    <w:rsid w:val="0049396F"/>
    <w:rsid w:val="004A6D10"/>
    <w:rsid w:val="004C0082"/>
    <w:rsid w:val="004C0084"/>
    <w:rsid w:val="004C5896"/>
    <w:rsid w:val="004E585C"/>
    <w:rsid w:val="00505163"/>
    <w:rsid w:val="00521FBE"/>
    <w:rsid w:val="005238D1"/>
    <w:rsid w:val="005577D8"/>
    <w:rsid w:val="00590B53"/>
    <w:rsid w:val="005C7922"/>
    <w:rsid w:val="005D6D5E"/>
    <w:rsid w:val="005F2070"/>
    <w:rsid w:val="006124F3"/>
    <w:rsid w:val="0061734A"/>
    <w:rsid w:val="00646007"/>
    <w:rsid w:val="00651CF7"/>
    <w:rsid w:val="00657865"/>
    <w:rsid w:val="00662A00"/>
    <w:rsid w:val="00676C50"/>
    <w:rsid w:val="006879D4"/>
    <w:rsid w:val="006906ED"/>
    <w:rsid w:val="006B4380"/>
    <w:rsid w:val="006C32F7"/>
    <w:rsid w:val="006C7802"/>
    <w:rsid w:val="006D0DDF"/>
    <w:rsid w:val="006E54AD"/>
    <w:rsid w:val="00706F2E"/>
    <w:rsid w:val="007142CD"/>
    <w:rsid w:val="007222AA"/>
    <w:rsid w:val="00730A4A"/>
    <w:rsid w:val="00741945"/>
    <w:rsid w:val="007819C6"/>
    <w:rsid w:val="00790CFE"/>
    <w:rsid w:val="007C0396"/>
    <w:rsid w:val="007F6FCC"/>
    <w:rsid w:val="00804BCF"/>
    <w:rsid w:val="00816C6E"/>
    <w:rsid w:val="00831EDF"/>
    <w:rsid w:val="0085267C"/>
    <w:rsid w:val="00894163"/>
    <w:rsid w:val="00897B0A"/>
    <w:rsid w:val="008D0034"/>
    <w:rsid w:val="00915A81"/>
    <w:rsid w:val="00915C37"/>
    <w:rsid w:val="009244FC"/>
    <w:rsid w:val="00957379"/>
    <w:rsid w:val="0096653A"/>
    <w:rsid w:val="0096744F"/>
    <w:rsid w:val="00994FFE"/>
    <w:rsid w:val="009A4BBB"/>
    <w:rsid w:val="009A7506"/>
    <w:rsid w:val="009C63B2"/>
    <w:rsid w:val="009D1B08"/>
    <w:rsid w:val="009D4F56"/>
    <w:rsid w:val="009F50EA"/>
    <w:rsid w:val="009F632B"/>
    <w:rsid w:val="00A50E02"/>
    <w:rsid w:val="00A54358"/>
    <w:rsid w:val="00A57289"/>
    <w:rsid w:val="00A673BC"/>
    <w:rsid w:val="00A7202E"/>
    <w:rsid w:val="00AA08E3"/>
    <w:rsid w:val="00AA2F1F"/>
    <w:rsid w:val="00AA34A2"/>
    <w:rsid w:val="00AB51E8"/>
    <w:rsid w:val="00AD7506"/>
    <w:rsid w:val="00B0031B"/>
    <w:rsid w:val="00B03BB0"/>
    <w:rsid w:val="00B249DD"/>
    <w:rsid w:val="00B51354"/>
    <w:rsid w:val="00B5573C"/>
    <w:rsid w:val="00B91D21"/>
    <w:rsid w:val="00B93856"/>
    <w:rsid w:val="00BC1D29"/>
    <w:rsid w:val="00BD73D7"/>
    <w:rsid w:val="00BE5255"/>
    <w:rsid w:val="00BF695E"/>
    <w:rsid w:val="00C17A62"/>
    <w:rsid w:val="00C26AE4"/>
    <w:rsid w:val="00C3231E"/>
    <w:rsid w:val="00C3696A"/>
    <w:rsid w:val="00C550B9"/>
    <w:rsid w:val="00C85FF1"/>
    <w:rsid w:val="00C8620E"/>
    <w:rsid w:val="00C92A30"/>
    <w:rsid w:val="00CB743D"/>
    <w:rsid w:val="00CE16DC"/>
    <w:rsid w:val="00CF7575"/>
    <w:rsid w:val="00D200D7"/>
    <w:rsid w:val="00D5213B"/>
    <w:rsid w:val="00D60EFF"/>
    <w:rsid w:val="00D66DA3"/>
    <w:rsid w:val="00D71682"/>
    <w:rsid w:val="00DA7320"/>
    <w:rsid w:val="00DD7632"/>
    <w:rsid w:val="00DF0383"/>
    <w:rsid w:val="00DF7D64"/>
    <w:rsid w:val="00E01DCE"/>
    <w:rsid w:val="00E12FBA"/>
    <w:rsid w:val="00E1425B"/>
    <w:rsid w:val="00E62DC3"/>
    <w:rsid w:val="00E85525"/>
    <w:rsid w:val="00EA04ED"/>
    <w:rsid w:val="00EA33E2"/>
    <w:rsid w:val="00EB1BE4"/>
    <w:rsid w:val="00EB6DBC"/>
    <w:rsid w:val="00EC1D73"/>
    <w:rsid w:val="00ED7702"/>
    <w:rsid w:val="00EE78F3"/>
    <w:rsid w:val="00F04F1C"/>
    <w:rsid w:val="00F068B9"/>
    <w:rsid w:val="00F20048"/>
    <w:rsid w:val="00F2071A"/>
    <w:rsid w:val="00F25E6C"/>
    <w:rsid w:val="00F2736D"/>
    <w:rsid w:val="00F30216"/>
    <w:rsid w:val="00F364C9"/>
    <w:rsid w:val="00F802F1"/>
    <w:rsid w:val="00F91CC6"/>
    <w:rsid w:val="00FA3750"/>
    <w:rsid w:val="00FA476A"/>
    <w:rsid w:val="00FB111F"/>
    <w:rsid w:val="00FC4DE4"/>
    <w:rsid w:val="00FD0513"/>
    <w:rsid w:val="00FD354B"/>
    <w:rsid w:val="00FE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44F3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3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5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3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5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chart" Target="charts/chart2.xml"/><Relationship Id="rId7" Type="http://schemas.openxmlformats.org/officeDocument/2006/relationships/chart" Target="charts/chart3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ompany:Administrative:Marketing%20Program:Market%20Info:2014%20Market%20Reports:2014%20Auction%20Prices%20wk%2027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2014 Global Tea Auction Prices By Week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Kenya</c:v>
                </c:pt>
              </c:strCache>
            </c:strRef>
          </c:tx>
          <c:cat>
            <c:numRef>
              <c:f>Sheet1!$A$2:$A$40</c:f>
              <c:numCache>
                <c:formatCode>General</c:formatCode>
                <c:ptCount val="39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  <c:pt idx="31">
                  <c:v>32.0</c:v>
                </c:pt>
                <c:pt idx="32">
                  <c:v>33.0</c:v>
                </c:pt>
              </c:numCache>
            </c:numRef>
          </c:cat>
          <c:val>
            <c:numRef>
              <c:f>Sheet1!$B$2:$B$40</c:f>
              <c:numCache>
                <c:formatCode>General</c:formatCode>
                <c:ptCount val="39"/>
                <c:pt idx="1">
                  <c:v>249.0</c:v>
                </c:pt>
                <c:pt idx="2">
                  <c:v>262.0</c:v>
                </c:pt>
                <c:pt idx="3">
                  <c:v>256.0</c:v>
                </c:pt>
                <c:pt idx="4">
                  <c:v>235.0</c:v>
                </c:pt>
                <c:pt idx="5">
                  <c:v>226.0</c:v>
                </c:pt>
                <c:pt idx="6">
                  <c:v>211.0</c:v>
                </c:pt>
                <c:pt idx="7">
                  <c:v>215.0</c:v>
                </c:pt>
                <c:pt idx="8">
                  <c:v>222.0</c:v>
                </c:pt>
                <c:pt idx="9">
                  <c:v>211.0</c:v>
                </c:pt>
                <c:pt idx="10">
                  <c:v>205.0</c:v>
                </c:pt>
                <c:pt idx="11">
                  <c:v>210.0</c:v>
                </c:pt>
                <c:pt idx="12">
                  <c:v>213.0</c:v>
                </c:pt>
                <c:pt idx="13">
                  <c:v>206.0</c:v>
                </c:pt>
                <c:pt idx="14">
                  <c:v>212.0</c:v>
                </c:pt>
                <c:pt idx="15">
                  <c:v>218.0</c:v>
                </c:pt>
                <c:pt idx="17">
                  <c:v>204.0</c:v>
                </c:pt>
                <c:pt idx="18">
                  <c:v>203.0</c:v>
                </c:pt>
                <c:pt idx="19">
                  <c:v>200.0</c:v>
                </c:pt>
                <c:pt idx="20">
                  <c:v>204.0</c:v>
                </c:pt>
                <c:pt idx="21">
                  <c:v>199.0</c:v>
                </c:pt>
                <c:pt idx="22">
                  <c:v>193.0</c:v>
                </c:pt>
                <c:pt idx="23">
                  <c:v>199.0</c:v>
                </c:pt>
                <c:pt idx="24">
                  <c:v>208.0</c:v>
                </c:pt>
                <c:pt idx="25">
                  <c:v>210.0</c:v>
                </c:pt>
                <c:pt idx="26">
                  <c:v>204.0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Malawi</c:v>
                </c:pt>
              </c:strCache>
            </c:strRef>
          </c:tx>
          <c:cat>
            <c:numRef>
              <c:f>Sheet1!$A$2:$A$40</c:f>
              <c:numCache>
                <c:formatCode>General</c:formatCode>
                <c:ptCount val="39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  <c:pt idx="31">
                  <c:v>32.0</c:v>
                </c:pt>
                <c:pt idx="32">
                  <c:v>33.0</c:v>
                </c:pt>
              </c:numCache>
            </c:numRef>
          </c:cat>
          <c:val>
            <c:numRef>
              <c:f>Sheet1!$C$2:$C$40</c:f>
              <c:numCache>
                <c:formatCode>General</c:formatCode>
                <c:ptCount val="39"/>
                <c:pt idx="0">
                  <c:v>149.0</c:v>
                </c:pt>
                <c:pt idx="1">
                  <c:v>149.0</c:v>
                </c:pt>
                <c:pt idx="2">
                  <c:v>149.0</c:v>
                </c:pt>
                <c:pt idx="3">
                  <c:v>149.0</c:v>
                </c:pt>
                <c:pt idx="4">
                  <c:v>149.0</c:v>
                </c:pt>
                <c:pt idx="5">
                  <c:v>154.0</c:v>
                </c:pt>
                <c:pt idx="6">
                  <c:v>152.0</c:v>
                </c:pt>
                <c:pt idx="7">
                  <c:v>150.0</c:v>
                </c:pt>
                <c:pt idx="8">
                  <c:v>143.0</c:v>
                </c:pt>
                <c:pt idx="9">
                  <c:v>143.0</c:v>
                </c:pt>
                <c:pt idx="10">
                  <c:v>143.0</c:v>
                </c:pt>
                <c:pt idx="11">
                  <c:v>143.0</c:v>
                </c:pt>
                <c:pt idx="12">
                  <c:v>144.0</c:v>
                </c:pt>
                <c:pt idx="13">
                  <c:v>144.0</c:v>
                </c:pt>
                <c:pt idx="14">
                  <c:v>144.0</c:v>
                </c:pt>
                <c:pt idx="15">
                  <c:v>144.0</c:v>
                </c:pt>
                <c:pt idx="16">
                  <c:v>144.0</c:v>
                </c:pt>
                <c:pt idx="17">
                  <c:v>148.0</c:v>
                </c:pt>
                <c:pt idx="18">
                  <c:v>139.0</c:v>
                </c:pt>
                <c:pt idx="19">
                  <c:v>135.0</c:v>
                </c:pt>
                <c:pt idx="20">
                  <c:v>140.0</c:v>
                </c:pt>
                <c:pt idx="21">
                  <c:v>140.0</c:v>
                </c:pt>
                <c:pt idx="22">
                  <c:v>140.0</c:v>
                </c:pt>
                <c:pt idx="23">
                  <c:v>135.0</c:v>
                </c:pt>
                <c:pt idx="24">
                  <c:v>129.0</c:v>
                </c:pt>
                <c:pt idx="25">
                  <c:v>125.0</c:v>
                </c:pt>
                <c:pt idx="26">
                  <c:v>129.0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Indonesia</c:v>
                </c:pt>
              </c:strCache>
            </c:strRef>
          </c:tx>
          <c:cat>
            <c:numRef>
              <c:f>Sheet1!$A$2:$A$40</c:f>
              <c:numCache>
                <c:formatCode>General</c:formatCode>
                <c:ptCount val="39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  <c:pt idx="31">
                  <c:v>32.0</c:v>
                </c:pt>
                <c:pt idx="32">
                  <c:v>33.0</c:v>
                </c:pt>
              </c:numCache>
            </c:numRef>
          </c:cat>
          <c:val>
            <c:numRef>
              <c:f>Sheet1!$D$2:$D$40</c:f>
              <c:numCache>
                <c:formatCode>General</c:formatCode>
                <c:ptCount val="39"/>
                <c:pt idx="1">
                  <c:v>188.0</c:v>
                </c:pt>
                <c:pt idx="2">
                  <c:v>193.0</c:v>
                </c:pt>
                <c:pt idx="3">
                  <c:v>210.0</c:v>
                </c:pt>
                <c:pt idx="4">
                  <c:v>182.0</c:v>
                </c:pt>
                <c:pt idx="5">
                  <c:v>181.0</c:v>
                </c:pt>
                <c:pt idx="6">
                  <c:v>182.0</c:v>
                </c:pt>
                <c:pt idx="7">
                  <c:v>176.0</c:v>
                </c:pt>
                <c:pt idx="8">
                  <c:v>171.0</c:v>
                </c:pt>
                <c:pt idx="9">
                  <c:v>177.0</c:v>
                </c:pt>
                <c:pt idx="10">
                  <c:v>164.0</c:v>
                </c:pt>
                <c:pt idx="11">
                  <c:v>163.0</c:v>
                </c:pt>
                <c:pt idx="12">
                  <c:v>166.0</c:v>
                </c:pt>
                <c:pt idx="13">
                  <c:v>181.0</c:v>
                </c:pt>
                <c:pt idx="14">
                  <c:v>175.0</c:v>
                </c:pt>
                <c:pt idx="15">
                  <c:v>165.0</c:v>
                </c:pt>
                <c:pt idx="16">
                  <c:v>166.0</c:v>
                </c:pt>
                <c:pt idx="17">
                  <c:v>176.0</c:v>
                </c:pt>
                <c:pt idx="18">
                  <c:v>178.0</c:v>
                </c:pt>
                <c:pt idx="19">
                  <c:v>167.0</c:v>
                </c:pt>
                <c:pt idx="20">
                  <c:v>171.0</c:v>
                </c:pt>
                <c:pt idx="21">
                  <c:v>168.0</c:v>
                </c:pt>
                <c:pt idx="22">
                  <c:v>171.0</c:v>
                </c:pt>
                <c:pt idx="23">
                  <c:v>183.0</c:v>
                </c:pt>
                <c:pt idx="24">
                  <c:v>186.0</c:v>
                </c:pt>
                <c:pt idx="25">
                  <c:v>171.0</c:v>
                </c:pt>
                <c:pt idx="26">
                  <c:v>185.0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N. India</c:v>
                </c:pt>
              </c:strCache>
            </c:strRef>
          </c:tx>
          <c:cat>
            <c:numRef>
              <c:f>Sheet1!$A$2:$A$40</c:f>
              <c:numCache>
                <c:formatCode>General</c:formatCode>
                <c:ptCount val="39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  <c:pt idx="31">
                  <c:v>32.0</c:v>
                </c:pt>
                <c:pt idx="32">
                  <c:v>33.0</c:v>
                </c:pt>
              </c:numCache>
            </c:numRef>
          </c:cat>
          <c:val>
            <c:numRef>
              <c:f>Sheet1!$E$2:$E$40</c:f>
              <c:numCache>
                <c:formatCode>General</c:formatCode>
                <c:ptCount val="39"/>
                <c:pt idx="1">
                  <c:v>215.0</c:v>
                </c:pt>
                <c:pt idx="2">
                  <c:v>208.0</c:v>
                </c:pt>
                <c:pt idx="3">
                  <c:v>201.0</c:v>
                </c:pt>
                <c:pt idx="4">
                  <c:v>188.0</c:v>
                </c:pt>
                <c:pt idx="5">
                  <c:v>191.0</c:v>
                </c:pt>
                <c:pt idx="6">
                  <c:v>188.0</c:v>
                </c:pt>
                <c:pt idx="7">
                  <c:v>189.0</c:v>
                </c:pt>
                <c:pt idx="9">
                  <c:v>188.0</c:v>
                </c:pt>
                <c:pt idx="12">
                  <c:v>192.0</c:v>
                </c:pt>
                <c:pt idx="14">
                  <c:v>281.0</c:v>
                </c:pt>
                <c:pt idx="15">
                  <c:v>221.0</c:v>
                </c:pt>
                <c:pt idx="16">
                  <c:v>293.0</c:v>
                </c:pt>
                <c:pt idx="17">
                  <c:v>301.0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S. India</c:v>
                </c:pt>
              </c:strCache>
            </c:strRef>
          </c:tx>
          <c:cat>
            <c:numRef>
              <c:f>Sheet1!$A$2:$A$40</c:f>
              <c:numCache>
                <c:formatCode>General</c:formatCode>
                <c:ptCount val="39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  <c:pt idx="31">
                  <c:v>32.0</c:v>
                </c:pt>
                <c:pt idx="32">
                  <c:v>33.0</c:v>
                </c:pt>
              </c:numCache>
            </c:numRef>
          </c:cat>
          <c:val>
            <c:numRef>
              <c:f>Sheet1!$F$2:$F$40</c:f>
              <c:numCache>
                <c:formatCode>General</c:formatCode>
                <c:ptCount val="39"/>
                <c:pt idx="0">
                  <c:v>183.0</c:v>
                </c:pt>
                <c:pt idx="1">
                  <c:v>192.0</c:v>
                </c:pt>
                <c:pt idx="2">
                  <c:v>175.0</c:v>
                </c:pt>
                <c:pt idx="3">
                  <c:v>166.0</c:v>
                </c:pt>
                <c:pt idx="4">
                  <c:v>167.0</c:v>
                </c:pt>
                <c:pt idx="5">
                  <c:v>175.0</c:v>
                </c:pt>
                <c:pt idx="6">
                  <c:v>170.0</c:v>
                </c:pt>
                <c:pt idx="7">
                  <c:v>175.0</c:v>
                </c:pt>
                <c:pt idx="8">
                  <c:v>167.0</c:v>
                </c:pt>
                <c:pt idx="9">
                  <c:v>167.0</c:v>
                </c:pt>
                <c:pt idx="10">
                  <c:v>156.0</c:v>
                </c:pt>
                <c:pt idx="11">
                  <c:v>160.0</c:v>
                </c:pt>
                <c:pt idx="12">
                  <c:v>175.0</c:v>
                </c:pt>
                <c:pt idx="13">
                  <c:v>179.0</c:v>
                </c:pt>
                <c:pt idx="14">
                  <c:v>178.0</c:v>
                </c:pt>
                <c:pt idx="16">
                  <c:v>169.0</c:v>
                </c:pt>
                <c:pt idx="17">
                  <c:v>175.0</c:v>
                </c:pt>
                <c:pt idx="18">
                  <c:v>186.0</c:v>
                </c:pt>
                <c:pt idx="19">
                  <c:v>190.0</c:v>
                </c:pt>
                <c:pt idx="20">
                  <c:v>189.0</c:v>
                </c:pt>
                <c:pt idx="21">
                  <c:v>190.0</c:v>
                </c:pt>
                <c:pt idx="22">
                  <c:v>181.0</c:v>
                </c:pt>
                <c:pt idx="23">
                  <c:v>172.0</c:v>
                </c:pt>
                <c:pt idx="24">
                  <c:v>172.0</c:v>
                </c:pt>
                <c:pt idx="25">
                  <c:v>172.0</c:v>
                </c:pt>
                <c:pt idx="26">
                  <c:v>172.0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Sri Lanka</c:v>
                </c:pt>
              </c:strCache>
            </c:strRef>
          </c:tx>
          <c:cat>
            <c:numRef>
              <c:f>Sheet1!$A$2:$A$40</c:f>
              <c:numCache>
                <c:formatCode>General</c:formatCode>
                <c:ptCount val="39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  <c:pt idx="31">
                  <c:v>32.0</c:v>
                </c:pt>
                <c:pt idx="32">
                  <c:v>33.0</c:v>
                </c:pt>
              </c:numCache>
            </c:numRef>
          </c:cat>
          <c:val>
            <c:numRef>
              <c:f>Sheet1!$G$2:$G$40</c:f>
              <c:numCache>
                <c:formatCode>General</c:formatCode>
                <c:ptCount val="39"/>
                <c:pt idx="1">
                  <c:v>343.0</c:v>
                </c:pt>
                <c:pt idx="2">
                  <c:v>352.0</c:v>
                </c:pt>
                <c:pt idx="3">
                  <c:v>347.0</c:v>
                </c:pt>
                <c:pt idx="4">
                  <c:v>354.0</c:v>
                </c:pt>
                <c:pt idx="5">
                  <c:v>340.0</c:v>
                </c:pt>
                <c:pt idx="6">
                  <c:v>344.0</c:v>
                </c:pt>
                <c:pt idx="7">
                  <c:v>363.0</c:v>
                </c:pt>
                <c:pt idx="8">
                  <c:v>379.0</c:v>
                </c:pt>
                <c:pt idx="9">
                  <c:v>266.0</c:v>
                </c:pt>
                <c:pt idx="10">
                  <c:v>379.0</c:v>
                </c:pt>
                <c:pt idx="13">
                  <c:v>331.0</c:v>
                </c:pt>
                <c:pt idx="14">
                  <c:v>324.0</c:v>
                </c:pt>
                <c:pt idx="16">
                  <c:v>335.0</c:v>
                </c:pt>
                <c:pt idx="17">
                  <c:v>333.0</c:v>
                </c:pt>
                <c:pt idx="18">
                  <c:v>326.0</c:v>
                </c:pt>
                <c:pt idx="19">
                  <c:v>341.0</c:v>
                </c:pt>
                <c:pt idx="20">
                  <c:v>328.0</c:v>
                </c:pt>
                <c:pt idx="21">
                  <c:v>321.0</c:v>
                </c:pt>
                <c:pt idx="22">
                  <c:v>317.0</c:v>
                </c:pt>
                <c:pt idx="23">
                  <c:v>317.0</c:v>
                </c:pt>
                <c:pt idx="24">
                  <c:v>322.0</c:v>
                </c:pt>
                <c:pt idx="25">
                  <c:v>322.0</c:v>
                </c:pt>
                <c:pt idx="26">
                  <c:v>317.0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46129992"/>
        <c:axId val="2146135560"/>
      </c:lineChart>
      <c:catAx>
        <c:axId val="214612999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Week Number</a:t>
                </a:r>
              </a:p>
            </c:rich>
          </c:tx>
          <c:layout>
            <c:manualLayout>
              <c:xMode val="edge"/>
              <c:yMode val="edge"/>
              <c:x val="0.477318473408347"/>
              <c:y val="0.933333333333333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2146135560"/>
        <c:crosses val="autoZero"/>
        <c:auto val="1"/>
        <c:lblAlgn val="ctr"/>
        <c:lblOffset val="100"/>
        <c:noMultiLvlLbl val="0"/>
      </c:catAx>
      <c:valAx>
        <c:axId val="214613556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Price of Tea in</a:t>
                </a:r>
                <a:r>
                  <a:rPr lang="en-US" sz="1200" baseline="0"/>
                  <a:t> US cents</a:t>
                </a:r>
                <a:endParaRPr lang="en-US" sz="1200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214612999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500"/>
            </a:pPr>
            <a:r>
              <a:rPr lang="en-US" sz="1500" b="1">
                <a:effectLst/>
              </a:rPr>
              <a:t>Weekly Auction Prices (USC/Kilo</a:t>
            </a:r>
            <a:r>
              <a:rPr lang="en-US" sz="1500" b="1" baseline="0">
                <a:effectLst/>
              </a:rPr>
              <a:t> FOB</a:t>
            </a:r>
            <a:r>
              <a:rPr lang="en-US" sz="1500" b="1">
                <a:effectLst/>
              </a:rPr>
              <a:t>)</a:t>
            </a:r>
            <a:endParaRPr lang="en-US" sz="1500">
              <a:effectLst/>
            </a:endParaRP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05146345343196"/>
          <c:y val="0.17603305785124"/>
          <c:w val="0.761781993159946"/>
          <c:h val="0.7068874861716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204.0</c:v>
                </c:pt>
                <c:pt idx="1">
                  <c:v>129.0</c:v>
                </c:pt>
                <c:pt idx="2">
                  <c:v>185.0</c:v>
                </c:pt>
                <c:pt idx="4">
                  <c:v>172.0</c:v>
                </c:pt>
                <c:pt idx="5">
                  <c:v>317.0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243.0</c:v>
                </c:pt>
                <c:pt idx="2">
                  <c:v>182.0</c:v>
                </c:pt>
                <c:pt idx="3">
                  <c:v>292.0</c:v>
                </c:pt>
                <c:pt idx="4">
                  <c:v>205.0</c:v>
                </c:pt>
                <c:pt idx="5">
                  <c:v>319.0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08879896"/>
        <c:axId val="2109684056"/>
      </c:barChart>
      <c:catAx>
        <c:axId val="2108879896"/>
        <c:scaling>
          <c:orientation val="minMax"/>
        </c:scaling>
        <c:delete val="0"/>
        <c:axPos val="b"/>
        <c:majorTickMark val="none"/>
        <c:minorTickMark val="none"/>
        <c:tickLblPos val="nextTo"/>
        <c:crossAx val="2109684056"/>
        <c:crosses val="autoZero"/>
        <c:auto val="1"/>
        <c:lblAlgn val="ctr"/>
        <c:lblOffset val="100"/>
        <c:noMultiLvlLbl val="0"/>
      </c:catAx>
      <c:valAx>
        <c:axId val="2109684056"/>
        <c:scaling>
          <c:orientation val="minMax"/>
          <c:min val="125.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10887989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AVG Prices</a:t>
            </a:r>
            <a:r>
              <a:rPr lang="en-US" sz="1400" baseline="0"/>
              <a:t> Year to Date (USC/Kilo FOB)</a:t>
            </a:r>
            <a:endParaRPr lang="en-US" sz="1400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0739998779222365"/>
          <c:y val="0.186734693877551"/>
          <c:w val="0.756242039512503"/>
          <c:h val="0.6380957737425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FFBF00"/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215.0</c:v>
                </c:pt>
                <c:pt idx="1">
                  <c:v>143.0</c:v>
                </c:pt>
                <c:pt idx="2">
                  <c:v>177.0</c:v>
                </c:pt>
                <c:pt idx="3">
                  <c:v>220.0</c:v>
                </c:pt>
                <c:pt idx="4">
                  <c:v>175.0</c:v>
                </c:pt>
                <c:pt idx="5">
                  <c:v>335.0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58B400"/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276.0</c:v>
                </c:pt>
                <c:pt idx="1">
                  <c:v>195.0</c:v>
                </c:pt>
                <c:pt idx="2">
                  <c:v>207.0</c:v>
                </c:pt>
                <c:pt idx="3">
                  <c:v>288.0</c:v>
                </c:pt>
                <c:pt idx="4">
                  <c:v>212.0</c:v>
                </c:pt>
                <c:pt idx="5">
                  <c:v>323.0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41859896"/>
        <c:axId val="2142209096"/>
      </c:barChart>
      <c:catAx>
        <c:axId val="2141859896"/>
        <c:scaling>
          <c:orientation val="minMax"/>
        </c:scaling>
        <c:delete val="0"/>
        <c:axPos val="b"/>
        <c:majorTickMark val="out"/>
        <c:minorTickMark val="none"/>
        <c:tickLblPos val="nextTo"/>
        <c:crossAx val="2142209096"/>
        <c:crosses val="autoZero"/>
        <c:auto val="1"/>
        <c:lblAlgn val="ctr"/>
        <c:lblOffset val="100"/>
        <c:noMultiLvlLbl val="0"/>
      </c:catAx>
      <c:valAx>
        <c:axId val="2142209096"/>
        <c:scaling>
          <c:orientation val="minMax"/>
          <c:min val="125.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4185989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Macintosh Word</Application>
  <DocSecurity>0</DocSecurity>
  <Lines>1</Lines>
  <Paragraphs>1</Paragraphs>
  <ScaleCrop>false</ScaleCrop>
  <Company>Henry P. Thomson Inc.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Thomson</dc:creator>
  <cp:keywords/>
  <dc:description/>
  <cp:lastModifiedBy>Henry Thomson</cp:lastModifiedBy>
  <cp:revision>2</cp:revision>
  <dcterms:created xsi:type="dcterms:W3CDTF">2014-07-11T16:35:00Z</dcterms:created>
  <dcterms:modified xsi:type="dcterms:W3CDTF">2014-07-11T16:35:00Z</dcterms:modified>
</cp:coreProperties>
</file>