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28A2E7CB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2448A6">
        <w:rPr>
          <w:sz w:val="38"/>
          <w:szCs w:val="38"/>
          <w:u w:val="single"/>
        </w:rPr>
        <w:t>48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2448A6">
        <w:rPr>
          <w:sz w:val="38"/>
          <w:szCs w:val="38"/>
          <w:u w:val="single"/>
        </w:rPr>
        <w:t>Nov 24</w:t>
      </w:r>
      <w:r w:rsidR="00EF6F50">
        <w:rPr>
          <w:sz w:val="38"/>
          <w:szCs w:val="38"/>
          <w:u w:val="single"/>
        </w:rPr>
        <w:t xml:space="preserve">- </w:t>
      </w:r>
      <w:r w:rsidR="002448A6">
        <w:rPr>
          <w:sz w:val="38"/>
          <w:szCs w:val="38"/>
          <w:u w:val="single"/>
        </w:rPr>
        <w:t>28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1F44F2AF" w:rsidR="006C7802" w:rsidRDefault="002448A6">
      <w:r>
        <w:rPr>
          <w:noProof/>
        </w:rPr>
        <w:drawing>
          <wp:inline distT="0" distB="0" distL="0" distR="0" wp14:anchorId="331EEAD5" wp14:editId="674C564A">
            <wp:extent cx="9486900" cy="35433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C18C4D4" w:rsidR="00B51354" w:rsidRPr="00AA2F1F" w:rsidRDefault="00B51354" w:rsidP="00E01DCE">
      <w:r>
        <w:t xml:space="preserve">   </w:t>
      </w:r>
      <w:r w:rsidR="002448A6">
        <w:rPr>
          <w:noProof/>
        </w:rPr>
        <w:drawing>
          <wp:inline distT="0" distB="0" distL="0" distR="0" wp14:anchorId="68DE36B1" wp14:editId="2B3CA2C9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2448A6">
        <w:rPr>
          <w:noProof/>
        </w:rPr>
        <w:drawing>
          <wp:inline distT="0" distB="0" distL="0" distR="0" wp14:anchorId="2D43C345" wp14:editId="4373444F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6215F"/>
    <w:rsid w:val="000A0370"/>
    <w:rsid w:val="000A463C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1F2C0E"/>
    <w:rsid w:val="002112DF"/>
    <w:rsid w:val="00224736"/>
    <w:rsid w:val="002250A4"/>
    <w:rsid w:val="00237BA4"/>
    <w:rsid w:val="00241756"/>
    <w:rsid w:val="002448A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5028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B673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B2811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Sheet1!$B$2:$B$52</c:f>
              <c:numCache>
                <c:formatCode>General</c:formatCode>
                <c:ptCount val="51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  <c:pt idx="43">
                  <c:v>227.0</c:v>
                </c:pt>
                <c:pt idx="44">
                  <c:v>220.0</c:v>
                </c:pt>
                <c:pt idx="45">
                  <c:v>213.0</c:v>
                </c:pt>
                <c:pt idx="46">
                  <c:v>218.0</c:v>
                </c:pt>
                <c:pt idx="47">
                  <c:v>215.0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Sheet1!$C$2:$C$52</c:f>
              <c:numCache>
                <c:formatCode>General</c:formatCode>
                <c:ptCount val="51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  <c:pt idx="43">
                  <c:v>141.0</c:v>
                </c:pt>
                <c:pt idx="44">
                  <c:v>132.0</c:v>
                </c:pt>
                <c:pt idx="45">
                  <c:v>127.0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Sheet1!$D$2:$D$52</c:f>
              <c:numCache>
                <c:formatCode>General</c:formatCode>
                <c:ptCount val="51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  <c:pt idx="43">
                  <c:v>161.0</c:v>
                </c:pt>
                <c:pt idx="44">
                  <c:v>170.0</c:v>
                </c:pt>
                <c:pt idx="45">
                  <c:v>165.0</c:v>
                </c:pt>
                <c:pt idx="46">
                  <c:v>163.0</c:v>
                </c:pt>
                <c:pt idx="47">
                  <c:v>157.0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Sheet1!$E$2:$E$52</c:f>
              <c:numCache>
                <c:formatCode>General</c:formatCode>
                <c:ptCount val="51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  <c:pt idx="43">
                  <c:v>265.0</c:v>
                </c:pt>
                <c:pt idx="44">
                  <c:v>270.0</c:v>
                </c:pt>
                <c:pt idx="45">
                  <c:v>270.0</c:v>
                </c:pt>
                <c:pt idx="46">
                  <c:v>270.0</c:v>
                </c:pt>
                <c:pt idx="47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Sheet1!$F$2:$F$52</c:f>
              <c:numCache>
                <c:formatCode>General</c:formatCode>
                <c:ptCount val="51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  <c:pt idx="43">
                  <c:v>186.0</c:v>
                </c:pt>
                <c:pt idx="44">
                  <c:v>169.0</c:v>
                </c:pt>
                <c:pt idx="45">
                  <c:v>169.0</c:v>
                </c:pt>
                <c:pt idx="46">
                  <c:v>188.0</c:v>
                </c:pt>
                <c:pt idx="47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Sheet1!$G$2:$G$52</c:f>
              <c:numCache>
                <c:formatCode>General</c:formatCode>
                <c:ptCount val="51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  <c:pt idx="43">
                  <c:v>325.0</c:v>
                </c:pt>
                <c:pt idx="44">
                  <c:v>308.0</c:v>
                </c:pt>
                <c:pt idx="45">
                  <c:v>308.0</c:v>
                </c:pt>
                <c:pt idx="46">
                  <c:v>311.0</c:v>
                </c:pt>
                <c:pt idx="47">
                  <c:v>305.0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5251320"/>
        <c:axId val="-2105245752"/>
      </c:lineChart>
      <c:catAx>
        <c:axId val="-2105251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5245752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1052457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5251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2">
                  <c:v>157.0</c:v>
                </c:pt>
                <c:pt idx="3">
                  <c:v>270.0</c:v>
                </c:pt>
                <c:pt idx="4">
                  <c:v>188.0</c:v>
                </c:pt>
                <c:pt idx="5">
                  <c:v>305.0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1">
                  <c:v>155.0</c:v>
                </c:pt>
                <c:pt idx="2">
                  <c:v>179.0</c:v>
                </c:pt>
                <c:pt idx="3">
                  <c:v>219.0</c:v>
                </c:pt>
                <c:pt idx="4">
                  <c:v>225.0</c:v>
                </c:pt>
                <c:pt idx="5">
                  <c:v>344.0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527704"/>
        <c:axId val="-2116591368"/>
      </c:barChart>
      <c:catAx>
        <c:axId val="-2104527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6591368"/>
        <c:crosses val="autoZero"/>
        <c:auto val="1"/>
        <c:lblAlgn val="ctr"/>
        <c:lblOffset val="100"/>
        <c:noMultiLvlLbl val="0"/>
      </c:catAx>
      <c:valAx>
        <c:axId val="-211659136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4527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252.0</c:v>
                </c:pt>
                <c:pt idx="4">
                  <c:v>175.0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248.0</c:v>
                </c:pt>
                <c:pt idx="1">
                  <c:v>186.0</c:v>
                </c:pt>
                <c:pt idx="2">
                  <c:v>196.0</c:v>
                </c:pt>
                <c:pt idx="3">
                  <c:v>270.0</c:v>
                </c:pt>
                <c:pt idx="4">
                  <c:v>210.0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8113256"/>
        <c:axId val="-2097954984"/>
      </c:barChart>
      <c:catAx>
        <c:axId val="-212811325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7954984"/>
        <c:crosses val="autoZero"/>
        <c:auto val="1"/>
        <c:lblAlgn val="ctr"/>
        <c:lblOffset val="100"/>
        <c:noMultiLvlLbl val="0"/>
      </c:catAx>
      <c:valAx>
        <c:axId val="-20979549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8113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2014-12-05T20:28:00Z</dcterms:created>
  <dcterms:modified xsi:type="dcterms:W3CDTF">2014-12-05T20:28:00Z</dcterms:modified>
</cp:coreProperties>
</file>