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4FFF9C39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4D00EA">
        <w:rPr>
          <w:sz w:val="38"/>
          <w:szCs w:val="38"/>
          <w:u w:val="single"/>
        </w:rPr>
        <w:t>6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4D00EA">
        <w:rPr>
          <w:sz w:val="38"/>
          <w:szCs w:val="38"/>
          <w:u w:val="single"/>
        </w:rPr>
        <w:t>Feb</w:t>
      </w:r>
      <w:r w:rsidR="007B63E6">
        <w:rPr>
          <w:sz w:val="38"/>
          <w:szCs w:val="38"/>
          <w:u w:val="single"/>
        </w:rPr>
        <w:t xml:space="preserve"> </w:t>
      </w:r>
      <w:r w:rsidR="004D00EA">
        <w:rPr>
          <w:sz w:val="38"/>
          <w:szCs w:val="38"/>
          <w:u w:val="single"/>
        </w:rPr>
        <w:t>2</w:t>
      </w:r>
      <w:r w:rsidR="007B63E6">
        <w:rPr>
          <w:sz w:val="38"/>
          <w:szCs w:val="38"/>
          <w:u w:val="single"/>
        </w:rPr>
        <w:t>-</w:t>
      </w:r>
      <w:r w:rsidR="004D00EA">
        <w:rPr>
          <w:sz w:val="38"/>
          <w:szCs w:val="38"/>
          <w:u w:val="single"/>
        </w:rPr>
        <w:t>6</w:t>
      </w:r>
      <w:r w:rsidR="001565AA">
        <w:rPr>
          <w:sz w:val="38"/>
          <w:szCs w:val="38"/>
          <w:u w:val="single"/>
        </w:rPr>
        <w:t xml:space="preserve"> 2015</w:t>
      </w:r>
    </w:p>
    <w:p w14:paraId="73BC8722" w14:textId="1B2F2564" w:rsidR="00AA34A2" w:rsidRDefault="004D00EA">
      <w:r>
        <w:rPr>
          <w:noProof/>
        </w:rPr>
        <w:drawing>
          <wp:inline distT="0" distB="0" distL="0" distR="0" wp14:anchorId="7ABA3927" wp14:editId="5A4DD8B5">
            <wp:extent cx="9601200" cy="3606800"/>
            <wp:effectExtent l="0" t="0" r="25400" b="254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12251925" w:rsidR="00B51354" w:rsidRPr="00AA2F1F" w:rsidRDefault="00B51354" w:rsidP="00E01DCE">
      <w:r>
        <w:t xml:space="preserve">  </w:t>
      </w:r>
      <w:r w:rsidR="004D00EA">
        <w:rPr>
          <w:noProof/>
        </w:rPr>
        <w:drawing>
          <wp:inline distT="0" distB="0" distL="0" distR="0" wp14:anchorId="232173E6" wp14:editId="2622870E">
            <wp:extent cx="45085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 </w:t>
      </w:r>
      <w:r w:rsidR="004D00EA">
        <w:rPr>
          <w:noProof/>
        </w:rPr>
        <w:drawing>
          <wp:inline distT="0" distB="0" distL="0" distR="0" wp14:anchorId="34426946" wp14:editId="1445B6A0">
            <wp:extent cx="4572000" cy="2976880"/>
            <wp:effectExtent l="0" t="0" r="254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E16F9"/>
    <w:rsid w:val="000F4269"/>
    <w:rsid w:val="000F7E82"/>
    <w:rsid w:val="00104A9E"/>
    <w:rsid w:val="001472F2"/>
    <w:rsid w:val="001565AA"/>
    <w:rsid w:val="0015685A"/>
    <w:rsid w:val="00165633"/>
    <w:rsid w:val="00180BA0"/>
    <w:rsid w:val="001970B3"/>
    <w:rsid w:val="001C397C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F0F0B"/>
    <w:rsid w:val="004100BF"/>
    <w:rsid w:val="0043231D"/>
    <w:rsid w:val="004323E4"/>
    <w:rsid w:val="00454335"/>
    <w:rsid w:val="0049396F"/>
    <w:rsid w:val="004C0082"/>
    <w:rsid w:val="004C0084"/>
    <w:rsid w:val="004C5896"/>
    <w:rsid w:val="004D00EA"/>
    <w:rsid w:val="00505163"/>
    <w:rsid w:val="005238D1"/>
    <w:rsid w:val="00590B53"/>
    <w:rsid w:val="005C224B"/>
    <w:rsid w:val="005C7922"/>
    <w:rsid w:val="006124F3"/>
    <w:rsid w:val="0061734A"/>
    <w:rsid w:val="00651CF7"/>
    <w:rsid w:val="00662A00"/>
    <w:rsid w:val="006879D4"/>
    <w:rsid w:val="006906ED"/>
    <w:rsid w:val="006B4380"/>
    <w:rsid w:val="006D0DDF"/>
    <w:rsid w:val="006E54AD"/>
    <w:rsid w:val="007142CD"/>
    <w:rsid w:val="007222AA"/>
    <w:rsid w:val="00741945"/>
    <w:rsid w:val="00756BAA"/>
    <w:rsid w:val="007819C6"/>
    <w:rsid w:val="00790CFE"/>
    <w:rsid w:val="007923FB"/>
    <w:rsid w:val="007B63E6"/>
    <w:rsid w:val="00804BCF"/>
    <w:rsid w:val="00816C6E"/>
    <w:rsid w:val="0083184E"/>
    <w:rsid w:val="00897B0A"/>
    <w:rsid w:val="00915A81"/>
    <w:rsid w:val="00915C37"/>
    <w:rsid w:val="009244FC"/>
    <w:rsid w:val="00957379"/>
    <w:rsid w:val="0096653A"/>
    <w:rsid w:val="009A4BBB"/>
    <w:rsid w:val="009A7506"/>
    <w:rsid w:val="009D1B08"/>
    <w:rsid w:val="009D4F56"/>
    <w:rsid w:val="009F50EA"/>
    <w:rsid w:val="009F632B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695E"/>
    <w:rsid w:val="00C17A62"/>
    <w:rsid w:val="00C3231E"/>
    <w:rsid w:val="00C3696A"/>
    <w:rsid w:val="00C550B9"/>
    <w:rsid w:val="00C6768F"/>
    <w:rsid w:val="00C85FF1"/>
    <w:rsid w:val="00CB743D"/>
    <w:rsid w:val="00CF7575"/>
    <w:rsid w:val="00D200D7"/>
    <w:rsid w:val="00D5213B"/>
    <w:rsid w:val="00D522E9"/>
    <w:rsid w:val="00D66DA3"/>
    <w:rsid w:val="00D71682"/>
    <w:rsid w:val="00D97AF0"/>
    <w:rsid w:val="00DD5FDF"/>
    <w:rsid w:val="00DD7632"/>
    <w:rsid w:val="00DF0383"/>
    <w:rsid w:val="00DF7D64"/>
    <w:rsid w:val="00E01DCE"/>
    <w:rsid w:val="00E62DC3"/>
    <w:rsid w:val="00E85525"/>
    <w:rsid w:val="00EA04ED"/>
    <w:rsid w:val="00EB1BE4"/>
    <w:rsid w:val="00EB6DBC"/>
    <w:rsid w:val="00EC1D73"/>
    <w:rsid w:val="00F04F1C"/>
    <w:rsid w:val="00F068B9"/>
    <w:rsid w:val="00F119F6"/>
    <w:rsid w:val="00F20048"/>
    <w:rsid w:val="00F2071A"/>
    <w:rsid w:val="00F2736D"/>
    <w:rsid w:val="00F30216"/>
    <w:rsid w:val="00F364C9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2013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Sheet1!$B$2:$B$19</c:f>
              <c:numCache>
                <c:formatCode>General</c:formatCode>
                <c:ptCount val="18"/>
                <c:pt idx="1">
                  <c:v>241.0</c:v>
                </c:pt>
                <c:pt idx="2">
                  <c:v>259.0</c:v>
                </c:pt>
                <c:pt idx="3">
                  <c:v>260.0</c:v>
                </c:pt>
                <c:pt idx="4">
                  <c:v>268.0</c:v>
                </c:pt>
                <c:pt idx="5">
                  <c:v>261.0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Sheet1!$C$2:$C$19</c:f>
              <c:numCache>
                <c:formatCode>General</c:formatCode>
                <c:ptCount val="18"/>
                <c:pt idx="1">
                  <c:v>126.0</c:v>
                </c:pt>
                <c:pt idx="2">
                  <c:v>126.0</c:v>
                </c:pt>
                <c:pt idx="3">
                  <c:v>126.0</c:v>
                </c:pt>
                <c:pt idx="4">
                  <c:v>126.0</c:v>
                </c:pt>
                <c:pt idx="5">
                  <c:v>126.0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Sheet1!$D$2:$D$19</c:f>
              <c:numCache>
                <c:formatCode>General</c:formatCode>
                <c:ptCount val="18"/>
                <c:pt idx="1">
                  <c:v>180.0</c:v>
                </c:pt>
                <c:pt idx="2">
                  <c:v>172.0</c:v>
                </c:pt>
                <c:pt idx="3">
                  <c:v>177.0</c:v>
                </c:pt>
                <c:pt idx="4">
                  <c:v>200.0</c:v>
                </c:pt>
                <c:pt idx="5">
                  <c:v>194.0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Sheet1!$E$2:$E$19</c:f>
              <c:numCache>
                <c:formatCode>General</c:formatCode>
                <c:ptCount val="18"/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Sheet1!$F$2:$F$19</c:f>
              <c:numCache>
                <c:formatCode>General</c:formatCode>
                <c:ptCount val="18"/>
                <c:pt idx="0">
                  <c:v>180.0</c:v>
                </c:pt>
                <c:pt idx="1">
                  <c:v>166.0</c:v>
                </c:pt>
                <c:pt idx="2">
                  <c:v>167.0</c:v>
                </c:pt>
                <c:pt idx="3">
                  <c:v>167.0</c:v>
                </c:pt>
                <c:pt idx="4">
                  <c:v>192.0</c:v>
                </c:pt>
                <c:pt idx="5">
                  <c:v>185.0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Sheet1!$G$2:$G$19</c:f>
              <c:numCache>
                <c:formatCode>General</c:formatCode>
                <c:ptCount val="18"/>
                <c:pt idx="0">
                  <c:v>297.0</c:v>
                </c:pt>
                <c:pt idx="1">
                  <c:v>323.0</c:v>
                </c:pt>
                <c:pt idx="2">
                  <c:v>331.0</c:v>
                </c:pt>
                <c:pt idx="3">
                  <c:v>322.0</c:v>
                </c:pt>
                <c:pt idx="4">
                  <c:v>325.0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42471368"/>
        <c:axId val="2142476776"/>
      </c:lineChart>
      <c:catAx>
        <c:axId val="21424713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142476776"/>
        <c:crosses val="autoZero"/>
        <c:auto val="1"/>
        <c:lblAlgn val="ctr"/>
        <c:lblOffset val="100"/>
        <c:noMultiLvlLbl val="0"/>
      </c:catAx>
      <c:valAx>
        <c:axId val="214247677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424713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261.0</c:v>
                </c:pt>
                <c:pt idx="1">
                  <c:v>126.0</c:v>
                </c:pt>
                <c:pt idx="2">
                  <c:v>194.0</c:v>
                </c:pt>
                <c:pt idx="4">
                  <c:v>185.0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226.0</c:v>
                </c:pt>
                <c:pt idx="1">
                  <c:v>154.0</c:v>
                </c:pt>
                <c:pt idx="2">
                  <c:v>181.0</c:v>
                </c:pt>
                <c:pt idx="3">
                  <c:v>191.0</c:v>
                </c:pt>
                <c:pt idx="4">
                  <c:v>175.0</c:v>
                </c:pt>
                <c:pt idx="5">
                  <c:v>340.0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5512696"/>
        <c:axId val="2144953016"/>
      </c:barChart>
      <c:catAx>
        <c:axId val="2135512696"/>
        <c:scaling>
          <c:orientation val="minMax"/>
        </c:scaling>
        <c:delete val="0"/>
        <c:axPos val="b"/>
        <c:majorTickMark val="none"/>
        <c:minorTickMark val="none"/>
        <c:tickLblPos val="nextTo"/>
        <c:crossAx val="2144953016"/>
        <c:crosses val="autoZero"/>
        <c:auto val="1"/>
        <c:lblAlgn val="ctr"/>
        <c:lblOffset val="100"/>
        <c:noMultiLvlLbl val="0"/>
      </c:catAx>
      <c:valAx>
        <c:axId val="2144953016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1355126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258.0</c:v>
                </c:pt>
                <c:pt idx="1">
                  <c:v>126.0</c:v>
                </c:pt>
                <c:pt idx="2">
                  <c:v>185.0</c:v>
                </c:pt>
                <c:pt idx="4">
                  <c:v>176.0</c:v>
                </c:pt>
                <c:pt idx="5">
                  <c:v>301.0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246.0</c:v>
                </c:pt>
                <c:pt idx="1">
                  <c:v>150.0</c:v>
                </c:pt>
                <c:pt idx="2">
                  <c:v>191.0</c:v>
                </c:pt>
                <c:pt idx="3">
                  <c:v>201.0</c:v>
                </c:pt>
                <c:pt idx="4">
                  <c:v>176.0</c:v>
                </c:pt>
                <c:pt idx="5">
                  <c:v>347.0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0053048"/>
        <c:axId val="2126059832"/>
      </c:barChart>
      <c:catAx>
        <c:axId val="2140053048"/>
        <c:scaling>
          <c:orientation val="minMax"/>
        </c:scaling>
        <c:delete val="0"/>
        <c:axPos val="b"/>
        <c:majorTickMark val="out"/>
        <c:minorTickMark val="none"/>
        <c:tickLblPos val="nextTo"/>
        <c:crossAx val="2126059832"/>
        <c:crosses val="autoZero"/>
        <c:auto val="1"/>
        <c:lblAlgn val="ctr"/>
        <c:lblOffset val="100"/>
        <c:noMultiLvlLbl val="0"/>
      </c:catAx>
      <c:valAx>
        <c:axId val="2126059832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400530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2015-02-17T20:29:00Z</dcterms:created>
  <dcterms:modified xsi:type="dcterms:W3CDTF">2015-02-17T20:29:00Z</dcterms:modified>
</cp:coreProperties>
</file>