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1A4022" w14:textId="046C16ED" w:rsidR="004C0084" w:rsidRPr="004C0084" w:rsidRDefault="00A7202E" w:rsidP="004C0084">
      <w:pPr>
        <w:jc w:val="center"/>
        <w:rPr>
          <w:sz w:val="4"/>
          <w:szCs w:val="4"/>
          <w:u w:val="single"/>
        </w:rPr>
      </w:pPr>
      <w:r>
        <w:rPr>
          <w:sz w:val="38"/>
          <w:szCs w:val="38"/>
          <w:u w:val="single"/>
        </w:rPr>
        <w:t xml:space="preserve">Market Report Week </w:t>
      </w:r>
      <w:r w:rsidR="00EB0CBD">
        <w:rPr>
          <w:sz w:val="38"/>
          <w:szCs w:val="38"/>
          <w:u w:val="single"/>
        </w:rPr>
        <w:t>28</w:t>
      </w:r>
      <w:r w:rsidR="00C550B9">
        <w:rPr>
          <w:sz w:val="38"/>
          <w:szCs w:val="38"/>
          <w:u w:val="single"/>
        </w:rPr>
        <w:t>:</w:t>
      </w:r>
      <w:r w:rsidR="00DF7D64">
        <w:rPr>
          <w:sz w:val="38"/>
          <w:szCs w:val="38"/>
          <w:u w:val="single"/>
        </w:rPr>
        <w:t xml:space="preserve"> </w:t>
      </w:r>
      <w:r w:rsidR="00EB0CBD">
        <w:rPr>
          <w:sz w:val="38"/>
          <w:szCs w:val="38"/>
          <w:u w:val="single"/>
        </w:rPr>
        <w:t>July</w:t>
      </w:r>
      <w:r w:rsidR="007B63E6">
        <w:rPr>
          <w:sz w:val="38"/>
          <w:szCs w:val="38"/>
          <w:u w:val="single"/>
        </w:rPr>
        <w:t xml:space="preserve"> </w:t>
      </w:r>
      <w:r w:rsidR="00EB0CBD">
        <w:rPr>
          <w:sz w:val="38"/>
          <w:szCs w:val="38"/>
          <w:u w:val="single"/>
        </w:rPr>
        <w:t>6</w:t>
      </w:r>
      <w:r w:rsidR="0068327F">
        <w:rPr>
          <w:sz w:val="38"/>
          <w:szCs w:val="38"/>
          <w:u w:val="single"/>
        </w:rPr>
        <w:t>-</w:t>
      </w:r>
      <w:r w:rsidR="00EB0CBD">
        <w:rPr>
          <w:sz w:val="38"/>
          <w:szCs w:val="38"/>
          <w:u w:val="single"/>
        </w:rPr>
        <w:t xml:space="preserve"> 10</w:t>
      </w:r>
      <w:r w:rsidR="000B6AF4">
        <w:rPr>
          <w:sz w:val="38"/>
          <w:szCs w:val="38"/>
          <w:u w:val="single"/>
        </w:rPr>
        <w:t>,</w:t>
      </w:r>
      <w:r w:rsidR="001565AA">
        <w:rPr>
          <w:sz w:val="38"/>
          <w:szCs w:val="38"/>
          <w:u w:val="single"/>
        </w:rPr>
        <w:t xml:space="preserve"> 2015</w:t>
      </w:r>
    </w:p>
    <w:p w14:paraId="73BC8722" w14:textId="3BA70FD5" w:rsidR="00AA34A2" w:rsidRDefault="00EB0CBD">
      <w:r>
        <w:rPr>
          <w:noProof/>
        </w:rPr>
        <w:drawing>
          <wp:inline distT="0" distB="0" distL="0" distR="0" wp14:anchorId="13172603" wp14:editId="10839F61">
            <wp:extent cx="9601200" cy="3721100"/>
            <wp:effectExtent l="0" t="0" r="25400" b="1270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229929B3" w14:textId="77777777" w:rsidR="00B51354" w:rsidRDefault="00B51354"/>
    <w:p w14:paraId="5DDA9ABE" w14:textId="6D2FF6FA" w:rsidR="00B51354" w:rsidRPr="00AA2F1F" w:rsidRDefault="00B51354" w:rsidP="00E01DCE">
      <w:r>
        <w:t xml:space="preserve">       </w:t>
      </w:r>
      <w:r w:rsidR="007411E6">
        <w:rPr>
          <w:noProof/>
        </w:rPr>
        <w:drawing>
          <wp:inline distT="0" distB="0" distL="0" distR="0" wp14:anchorId="1371CFD6" wp14:editId="4323EBCF">
            <wp:extent cx="4457700" cy="3073400"/>
            <wp:effectExtent l="0" t="0" r="12700" b="2540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>
        <w:t xml:space="preserve">     </w:t>
      </w:r>
      <w:bookmarkStart w:id="0" w:name="_GoBack"/>
      <w:r w:rsidR="007411E6">
        <w:rPr>
          <w:noProof/>
        </w:rPr>
        <w:drawing>
          <wp:inline distT="0" distB="0" distL="0" distR="0" wp14:anchorId="6422CC67" wp14:editId="702F8551">
            <wp:extent cx="4686300" cy="2976880"/>
            <wp:effectExtent l="0" t="0" r="12700" b="2032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sectPr w:rsidR="00B51354" w:rsidRPr="00AA2F1F" w:rsidSect="00B51354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354"/>
    <w:rsid w:val="00037692"/>
    <w:rsid w:val="00053C74"/>
    <w:rsid w:val="000A0370"/>
    <w:rsid w:val="000B6AF4"/>
    <w:rsid w:val="000E16F9"/>
    <w:rsid w:val="000F4269"/>
    <w:rsid w:val="000F7E82"/>
    <w:rsid w:val="00104A9E"/>
    <w:rsid w:val="001337CC"/>
    <w:rsid w:val="001472F2"/>
    <w:rsid w:val="001565AA"/>
    <w:rsid w:val="0015685A"/>
    <w:rsid w:val="00165633"/>
    <w:rsid w:val="00180BA0"/>
    <w:rsid w:val="001970B3"/>
    <w:rsid w:val="001C397C"/>
    <w:rsid w:val="001D0F9B"/>
    <w:rsid w:val="001E2DB0"/>
    <w:rsid w:val="00224736"/>
    <w:rsid w:val="002250A4"/>
    <w:rsid w:val="00241756"/>
    <w:rsid w:val="00254C06"/>
    <w:rsid w:val="0025696E"/>
    <w:rsid w:val="00266AE7"/>
    <w:rsid w:val="00276A12"/>
    <w:rsid w:val="00276E48"/>
    <w:rsid w:val="002932DC"/>
    <w:rsid w:val="002A16D1"/>
    <w:rsid w:val="002A64CF"/>
    <w:rsid w:val="002B1C5E"/>
    <w:rsid w:val="002C0A7E"/>
    <w:rsid w:val="002E07A4"/>
    <w:rsid w:val="002E3BD6"/>
    <w:rsid w:val="002F55C0"/>
    <w:rsid w:val="00310D36"/>
    <w:rsid w:val="003164A8"/>
    <w:rsid w:val="0033235B"/>
    <w:rsid w:val="003372C7"/>
    <w:rsid w:val="00337F96"/>
    <w:rsid w:val="003A4ABE"/>
    <w:rsid w:val="003A7945"/>
    <w:rsid w:val="003B5A10"/>
    <w:rsid w:val="003F0F0B"/>
    <w:rsid w:val="004100BF"/>
    <w:rsid w:val="0043231D"/>
    <w:rsid w:val="004323E4"/>
    <w:rsid w:val="00454335"/>
    <w:rsid w:val="0049396F"/>
    <w:rsid w:val="004C0082"/>
    <w:rsid w:val="004C0084"/>
    <w:rsid w:val="004C5896"/>
    <w:rsid w:val="004D00EA"/>
    <w:rsid w:val="004F71C0"/>
    <w:rsid w:val="00505163"/>
    <w:rsid w:val="005238D1"/>
    <w:rsid w:val="00590B53"/>
    <w:rsid w:val="005C224B"/>
    <w:rsid w:val="005C7922"/>
    <w:rsid w:val="006124F3"/>
    <w:rsid w:val="0061734A"/>
    <w:rsid w:val="00645C3E"/>
    <w:rsid w:val="00651CF7"/>
    <w:rsid w:val="00662A00"/>
    <w:rsid w:val="0068327F"/>
    <w:rsid w:val="006879D4"/>
    <w:rsid w:val="006906ED"/>
    <w:rsid w:val="006B4380"/>
    <w:rsid w:val="006B4E57"/>
    <w:rsid w:val="006D0DDF"/>
    <w:rsid w:val="006E54AD"/>
    <w:rsid w:val="007142CD"/>
    <w:rsid w:val="007222AA"/>
    <w:rsid w:val="007411E6"/>
    <w:rsid w:val="00741945"/>
    <w:rsid w:val="00756BAA"/>
    <w:rsid w:val="007819C6"/>
    <w:rsid w:val="007824C1"/>
    <w:rsid w:val="00790CFE"/>
    <w:rsid w:val="007923FB"/>
    <w:rsid w:val="007B63E6"/>
    <w:rsid w:val="007D7EB2"/>
    <w:rsid w:val="00804BCF"/>
    <w:rsid w:val="00816C6E"/>
    <w:rsid w:val="0083184E"/>
    <w:rsid w:val="00855866"/>
    <w:rsid w:val="00897B0A"/>
    <w:rsid w:val="008A31AD"/>
    <w:rsid w:val="008E68EE"/>
    <w:rsid w:val="008F203B"/>
    <w:rsid w:val="00915A81"/>
    <w:rsid w:val="00915C37"/>
    <w:rsid w:val="009244FC"/>
    <w:rsid w:val="00957379"/>
    <w:rsid w:val="00965066"/>
    <w:rsid w:val="0096653A"/>
    <w:rsid w:val="009A4BBB"/>
    <w:rsid w:val="009A7506"/>
    <w:rsid w:val="009B537A"/>
    <w:rsid w:val="009D1B08"/>
    <w:rsid w:val="009D4F56"/>
    <w:rsid w:val="009F50EA"/>
    <w:rsid w:val="009F632B"/>
    <w:rsid w:val="00A110DA"/>
    <w:rsid w:val="00A22DB0"/>
    <w:rsid w:val="00A50E02"/>
    <w:rsid w:val="00A54358"/>
    <w:rsid w:val="00A57289"/>
    <w:rsid w:val="00A7202E"/>
    <w:rsid w:val="00AA08E3"/>
    <w:rsid w:val="00AA2F1F"/>
    <w:rsid w:val="00AA34A2"/>
    <w:rsid w:val="00AB51E8"/>
    <w:rsid w:val="00AD7506"/>
    <w:rsid w:val="00B03BB0"/>
    <w:rsid w:val="00B51354"/>
    <w:rsid w:val="00B5573C"/>
    <w:rsid w:val="00B91D21"/>
    <w:rsid w:val="00BC1D29"/>
    <w:rsid w:val="00BF695E"/>
    <w:rsid w:val="00C17A62"/>
    <w:rsid w:val="00C3231E"/>
    <w:rsid w:val="00C3696A"/>
    <w:rsid w:val="00C550B9"/>
    <w:rsid w:val="00C6768F"/>
    <w:rsid w:val="00C74475"/>
    <w:rsid w:val="00C85FF1"/>
    <w:rsid w:val="00CB743D"/>
    <w:rsid w:val="00CF7575"/>
    <w:rsid w:val="00D200D7"/>
    <w:rsid w:val="00D5213B"/>
    <w:rsid w:val="00D522E9"/>
    <w:rsid w:val="00D66DA3"/>
    <w:rsid w:val="00D71682"/>
    <w:rsid w:val="00D97AF0"/>
    <w:rsid w:val="00DD5FDF"/>
    <w:rsid w:val="00DD7632"/>
    <w:rsid w:val="00DF0383"/>
    <w:rsid w:val="00DF7D64"/>
    <w:rsid w:val="00E01DCE"/>
    <w:rsid w:val="00E14737"/>
    <w:rsid w:val="00E62DC3"/>
    <w:rsid w:val="00E71B45"/>
    <w:rsid w:val="00E85525"/>
    <w:rsid w:val="00E87AE7"/>
    <w:rsid w:val="00EA04ED"/>
    <w:rsid w:val="00EA7664"/>
    <w:rsid w:val="00EB0CBD"/>
    <w:rsid w:val="00EB1BE4"/>
    <w:rsid w:val="00EB6DBC"/>
    <w:rsid w:val="00EC1D73"/>
    <w:rsid w:val="00F04F1C"/>
    <w:rsid w:val="00F068B9"/>
    <w:rsid w:val="00F119F6"/>
    <w:rsid w:val="00F20048"/>
    <w:rsid w:val="00F2071A"/>
    <w:rsid w:val="00F2736D"/>
    <w:rsid w:val="00F30216"/>
    <w:rsid w:val="00F364C9"/>
    <w:rsid w:val="00F53150"/>
    <w:rsid w:val="00FA3750"/>
    <w:rsid w:val="00FB35E4"/>
    <w:rsid w:val="00FD354B"/>
    <w:rsid w:val="00FE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44F3E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135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35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135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35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chart" Target="charts/chart1.xml"/><Relationship Id="rId6" Type="http://schemas.openxmlformats.org/officeDocument/2006/relationships/chart" Target="charts/chart2.xml"/><Relationship Id="rId7" Type="http://schemas.openxmlformats.org/officeDocument/2006/relationships/chart" Target="charts/chart3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company:Administrative:Marketing%20Program:Market%20Info:2015%20Market%20Reports:2015%20Auction%20Prices%20wk%2028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2015 Global Tea Auction Prices By Week</a:t>
            </a:r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Kenya</c:v>
                </c:pt>
              </c:strCache>
            </c:strRef>
          </c:tx>
          <c:cat>
            <c:numRef>
              <c:f>Sheet1!$A$2:$A$32</c:f>
              <c:numCache>
                <c:formatCode>General</c:formatCode>
                <c:ptCount val="31"/>
                <c:pt idx="0">
                  <c:v>1.0</c:v>
                </c:pt>
                <c:pt idx="1">
                  <c:v>2.0</c:v>
                </c:pt>
                <c:pt idx="2">
                  <c:v>3.0</c:v>
                </c:pt>
                <c:pt idx="3">
                  <c:v>4.0</c:v>
                </c:pt>
                <c:pt idx="4">
                  <c:v>5.0</c:v>
                </c:pt>
                <c:pt idx="5">
                  <c:v>6.0</c:v>
                </c:pt>
                <c:pt idx="6">
                  <c:v>7.0</c:v>
                </c:pt>
                <c:pt idx="7">
                  <c:v>8.0</c:v>
                </c:pt>
                <c:pt idx="8">
                  <c:v>9.0</c:v>
                </c:pt>
                <c:pt idx="9">
                  <c:v>10.0</c:v>
                </c:pt>
                <c:pt idx="10">
                  <c:v>11.0</c:v>
                </c:pt>
                <c:pt idx="11">
                  <c:v>12.0</c:v>
                </c:pt>
                <c:pt idx="12">
                  <c:v>13.0</c:v>
                </c:pt>
                <c:pt idx="13">
                  <c:v>14.0</c:v>
                </c:pt>
                <c:pt idx="14">
                  <c:v>15.0</c:v>
                </c:pt>
                <c:pt idx="15">
                  <c:v>16.0</c:v>
                </c:pt>
                <c:pt idx="16">
                  <c:v>17.0</c:v>
                </c:pt>
                <c:pt idx="17">
                  <c:v>18.0</c:v>
                </c:pt>
                <c:pt idx="18">
                  <c:v>19.0</c:v>
                </c:pt>
                <c:pt idx="19">
                  <c:v>20.0</c:v>
                </c:pt>
                <c:pt idx="20">
                  <c:v>21.0</c:v>
                </c:pt>
                <c:pt idx="21">
                  <c:v>22.0</c:v>
                </c:pt>
                <c:pt idx="22">
                  <c:v>23.0</c:v>
                </c:pt>
                <c:pt idx="23">
                  <c:v>24.0</c:v>
                </c:pt>
                <c:pt idx="24">
                  <c:v>25.0</c:v>
                </c:pt>
                <c:pt idx="25">
                  <c:v>26.0</c:v>
                </c:pt>
                <c:pt idx="26">
                  <c:v>27.0</c:v>
                </c:pt>
                <c:pt idx="27">
                  <c:v>28.0</c:v>
                </c:pt>
                <c:pt idx="28">
                  <c:v>29.0</c:v>
                </c:pt>
                <c:pt idx="29">
                  <c:v>30.0</c:v>
                </c:pt>
                <c:pt idx="30">
                  <c:v>31.0</c:v>
                </c:pt>
              </c:numCache>
            </c:numRef>
          </c:cat>
          <c:val>
            <c:numRef>
              <c:f>Sheet1!$B$2:$B$32</c:f>
              <c:numCache>
                <c:formatCode>General</c:formatCode>
                <c:ptCount val="31"/>
                <c:pt idx="1">
                  <c:v>241.0</c:v>
                </c:pt>
                <c:pt idx="2">
                  <c:v>259.0</c:v>
                </c:pt>
                <c:pt idx="3">
                  <c:v>260.0</c:v>
                </c:pt>
                <c:pt idx="4">
                  <c:v>268.0</c:v>
                </c:pt>
                <c:pt idx="5">
                  <c:v>261.0</c:v>
                </c:pt>
                <c:pt idx="6">
                  <c:v>266.0</c:v>
                </c:pt>
                <c:pt idx="7">
                  <c:v>275.0</c:v>
                </c:pt>
                <c:pt idx="8">
                  <c:v>281.0</c:v>
                </c:pt>
                <c:pt idx="9">
                  <c:v>295.0</c:v>
                </c:pt>
                <c:pt idx="10">
                  <c:v>312.0</c:v>
                </c:pt>
                <c:pt idx="11">
                  <c:v>294.0</c:v>
                </c:pt>
                <c:pt idx="12">
                  <c:v>293.0</c:v>
                </c:pt>
                <c:pt idx="13">
                  <c:v>275.0</c:v>
                </c:pt>
                <c:pt idx="14">
                  <c:v>274.0</c:v>
                </c:pt>
                <c:pt idx="15">
                  <c:v>289.0</c:v>
                </c:pt>
                <c:pt idx="16">
                  <c:v>278.0</c:v>
                </c:pt>
                <c:pt idx="17">
                  <c:v>291.0</c:v>
                </c:pt>
                <c:pt idx="18">
                  <c:v>312.0</c:v>
                </c:pt>
                <c:pt idx="19">
                  <c:v>312.0</c:v>
                </c:pt>
                <c:pt idx="20">
                  <c:v>330.0</c:v>
                </c:pt>
                <c:pt idx="21">
                  <c:v>326.0</c:v>
                </c:pt>
                <c:pt idx="22">
                  <c:v>325.0</c:v>
                </c:pt>
                <c:pt idx="23">
                  <c:v>344.0</c:v>
                </c:pt>
                <c:pt idx="24">
                  <c:v>361.0</c:v>
                </c:pt>
                <c:pt idx="25">
                  <c:v>370.0</c:v>
                </c:pt>
                <c:pt idx="26">
                  <c:v>370.0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Malawi</c:v>
                </c:pt>
              </c:strCache>
            </c:strRef>
          </c:tx>
          <c:cat>
            <c:numRef>
              <c:f>Sheet1!$A$2:$A$32</c:f>
              <c:numCache>
                <c:formatCode>General</c:formatCode>
                <c:ptCount val="31"/>
                <c:pt idx="0">
                  <c:v>1.0</c:v>
                </c:pt>
                <c:pt idx="1">
                  <c:v>2.0</c:v>
                </c:pt>
                <c:pt idx="2">
                  <c:v>3.0</c:v>
                </c:pt>
                <c:pt idx="3">
                  <c:v>4.0</c:v>
                </c:pt>
                <c:pt idx="4">
                  <c:v>5.0</c:v>
                </c:pt>
                <c:pt idx="5">
                  <c:v>6.0</c:v>
                </c:pt>
                <c:pt idx="6">
                  <c:v>7.0</c:v>
                </c:pt>
                <c:pt idx="7">
                  <c:v>8.0</c:v>
                </c:pt>
                <c:pt idx="8">
                  <c:v>9.0</c:v>
                </c:pt>
                <c:pt idx="9">
                  <c:v>10.0</c:v>
                </c:pt>
                <c:pt idx="10">
                  <c:v>11.0</c:v>
                </c:pt>
                <c:pt idx="11">
                  <c:v>12.0</c:v>
                </c:pt>
                <c:pt idx="12">
                  <c:v>13.0</c:v>
                </c:pt>
                <c:pt idx="13">
                  <c:v>14.0</c:v>
                </c:pt>
                <c:pt idx="14">
                  <c:v>15.0</c:v>
                </c:pt>
                <c:pt idx="15">
                  <c:v>16.0</c:v>
                </c:pt>
                <c:pt idx="16">
                  <c:v>17.0</c:v>
                </c:pt>
                <c:pt idx="17">
                  <c:v>18.0</c:v>
                </c:pt>
                <c:pt idx="18">
                  <c:v>19.0</c:v>
                </c:pt>
                <c:pt idx="19">
                  <c:v>20.0</c:v>
                </c:pt>
                <c:pt idx="20">
                  <c:v>21.0</c:v>
                </c:pt>
                <c:pt idx="21">
                  <c:v>22.0</c:v>
                </c:pt>
                <c:pt idx="22">
                  <c:v>23.0</c:v>
                </c:pt>
                <c:pt idx="23">
                  <c:v>24.0</c:v>
                </c:pt>
                <c:pt idx="24">
                  <c:v>25.0</c:v>
                </c:pt>
                <c:pt idx="25">
                  <c:v>26.0</c:v>
                </c:pt>
                <c:pt idx="26">
                  <c:v>27.0</c:v>
                </c:pt>
                <c:pt idx="27">
                  <c:v>28.0</c:v>
                </c:pt>
                <c:pt idx="28">
                  <c:v>29.0</c:v>
                </c:pt>
                <c:pt idx="29">
                  <c:v>30.0</c:v>
                </c:pt>
                <c:pt idx="30">
                  <c:v>31.0</c:v>
                </c:pt>
              </c:numCache>
            </c:numRef>
          </c:cat>
          <c:val>
            <c:numRef>
              <c:f>Sheet1!$C$2:$C$32</c:f>
              <c:numCache>
                <c:formatCode>General</c:formatCode>
                <c:ptCount val="31"/>
                <c:pt idx="1">
                  <c:v>126.0</c:v>
                </c:pt>
                <c:pt idx="2">
                  <c:v>126.0</c:v>
                </c:pt>
                <c:pt idx="3">
                  <c:v>126.0</c:v>
                </c:pt>
                <c:pt idx="4">
                  <c:v>126.0</c:v>
                </c:pt>
                <c:pt idx="5">
                  <c:v>126.0</c:v>
                </c:pt>
                <c:pt idx="6">
                  <c:v>126.0</c:v>
                </c:pt>
                <c:pt idx="7">
                  <c:v>120.0</c:v>
                </c:pt>
                <c:pt idx="8">
                  <c:v>120.0</c:v>
                </c:pt>
                <c:pt idx="9">
                  <c:v>120.0</c:v>
                </c:pt>
                <c:pt idx="10">
                  <c:v>137.0</c:v>
                </c:pt>
                <c:pt idx="11">
                  <c:v>137.0</c:v>
                </c:pt>
                <c:pt idx="12">
                  <c:v>184.0</c:v>
                </c:pt>
                <c:pt idx="13">
                  <c:v>184.0</c:v>
                </c:pt>
                <c:pt idx="14">
                  <c:v>184.0</c:v>
                </c:pt>
                <c:pt idx="15">
                  <c:v>184.0</c:v>
                </c:pt>
                <c:pt idx="16">
                  <c:v>184.0</c:v>
                </c:pt>
                <c:pt idx="17">
                  <c:v>184.0</c:v>
                </c:pt>
                <c:pt idx="18">
                  <c:v>184.0</c:v>
                </c:pt>
                <c:pt idx="19">
                  <c:v>184.0</c:v>
                </c:pt>
                <c:pt idx="20">
                  <c:v>155.0</c:v>
                </c:pt>
                <c:pt idx="21">
                  <c:v>155.0</c:v>
                </c:pt>
                <c:pt idx="22">
                  <c:v>155.0</c:v>
                </c:pt>
                <c:pt idx="23">
                  <c:v>155.0</c:v>
                </c:pt>
                <c:pt idx="24">
                  <c:v>155.0</c:v>
                </c:pt>
                <c:pt idx="25">
                  <c:v>155.0</c:v>
                </c:pt>
                <c:pt idx="26">
                  <c:v>155.0</c:v>
                </c:pt>
                <c:pt idx="27">
                  <c:v>156.0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Indonesia</c:v>
                </c:pt>
              </c:strCache>
            </c:strRef>
          </c:tx>
          <c:cat>
            <c:numRef>
              <c:f>Sheet1!$A$2:$A$32</c:f>
              <c:numCache>
                <c:formatCode>General</c:formatCode>
                <c:ptCount val="31"/>
                <c:pt idx="0">
                  <c:v>1.0</c:v>
                </c:pt>
                <c:pt idx="1">
                  <c:v>2.0</c:v>
                </c:pt>
                <c:pt idx="2">
                  <c:v>3.0</c:v>
                </c:pt>
                <c:pt idx="3">
                  <c:v>4.0</c:v>
                </c:pt>
                <c:pt idx="4">
                  <c:v>5.0</c:v>
                </c:pt>
                <c:pt idx="5">
                  <c:v>6.0</c:v>
                </c:pt>
                <c:pt idx="6">
                  <c:v>7.0</c:v>
                </c:pt>
                <c:pt idx="7">
                  <c:v>8.0</c:v>
                </c:pt>
                <c:pt idx="8">
                  <c:v>9.0</c:v>
                </c:pt>
                <c:pt idx="9">
                  <c:v>10.0</c:v>
                </c:pt>
                <c:pt idx="10">
                  <c:v>11.0</c:v>
                </c:pt>
                <c:pt idx="11">
                  <c:v>12.0</c:v>
                </c:pt>
                <c:pt idx="12">
                  <c:v>13.0</c:v>
                </c:pt>
                <c:pt idx="13">
                  <c:v>14.0</c:v>
                </c:pt>
                <c:pt idx="14">
                  <c:v>15.0</c:v>
                </c:pt>
                <c:pt idx="15">
                  <c:v>16.0</c:v>
                </c:pt>
                <c:pt idx="16">
                  <c:v>17.0</c:v>
                </c:pt>
                <c:pt idx="17">
                  <c:v>18.0</c:v>
                </c:pt>
                <c:pt idx="18">
                  <c:v>19.0</c:v>
                </c:pt>
                <c:pt idx="19">
                  <c:v>20.0</c:v>
                </c:pt>
                <c:pt idx="20">
                  <c:v>21.0</c:v>
                </c:pt>
                <c:pt idx="21">
                  <c:v>22.0</c:v>
                </c:pt>
                <c:pt idx="22">
                  <c:v>23.0</c:v>
                </c:pt>
                <c:pt idx="23">
                  <c:v>24.0</c:v>
                </c:pt>
                <c:pt idx="24">
                  <c:v>25.0</c:v>
                </c:pt>
                <c:pt idx="25">
                  <c:v>26.0</c:v>
                </c:pt>
                <c:pt idx="26">
                  <c:v>27.0</c:v>
                </c:pt>
                <c:pt idx="27">
                  <c:v>28.0</c:v>
                </c:pt>
                <c:pt idx="28">
                  <c:v>29.0</c:v>
                </c:pt>
                <c:pt idx="29">
                  <c:v>30.0</c:v>
                </c:pt>
                <c:pt idx="30">
                  <c:v>31.0</c:v>
                </c:pt>
              </c:numCache>
            </c:numRef>
          </c:cat>
          <c:val>
            <c:numRef>
              <c:f>Sheet1!$D$2:$D$32</c:f>
              <c:numCache>
                <c:formatCode>General</c:formatCode>
                <c:ptCount val="31"/>
                <c:pt idx="1">
                  <c:v>180.0</c:v>
                </c:pt>
                <c:pt idx="2">
                  <c:v>172.0</c:v>
                </c:pt>
                <c:pt idx="3">
                  <c:v>177.0</c:v>
                </c:pt>
                <c:pt idx="4">
                  <c:v>200.0</c:v>
                </c:pt>
                <c:pt idx="5">
                  <c:v>194.0</c:v>
                </c:pt>
                <c:pt idx="6">
                  <c:v>190.0</c:v>
                </c:pt>
                <c:pt idx="7">
                  <c:v>196.0</c:v>
                </c:pt>
                <c:pt idx="8">
                  <c:v>194.0</c:v>
                </c:pt>
                <c:pt idx="9">
                  <c:v>170.0</c:v>
                </c:pt>
                <c:pt idx="10">
                  <c:v>169.0</c:v>
                </c:pt>
                <c:pt idx="11">
                  <c:v>192.0</c:v>
                </c:pt>
                <c:pt idx="12">
                  <c:v>163.0</c:v>
                </c:pt>
                <c:pt idx="13">
                  <c:v>162.0</c:v>
                </c:pt>
                <c:pt idx="14">
                  <c:v>152.0</c:v>
                </c:pt>
                <c:pt idx="15">
                  <c:v>157.0</c:v>
                </c:pt>
                <c:pt idx="16">
                  <c:v>168.0</c:v>
                </c:pt>
                <c:pt idx="17">
                  <c:v>162.0</c:v>
                </c:pt>
                <c:pt idx="18">
                  <c:v>162.0</c:v>
                </c:pt>
                <c:pt idx="19">
                  <c:v>163.0</c:v>
                </c:pt>
                <c:pt idx="20">
                  <c:v>159.0</c:v>
                </c:pt>
                <c:pt idx="21">
                  <c:v>176.0</c:v>
                </c:pt>
                <c:pt idx="22">
                  <c:v>163.0</c:v>
                </c:pt>
                <c:pt idx="23">
                  <c:v>167.0</c:v>
                </c:pt>
                <c:pt idx="24">
                  <c:v>175.0</c:v>
                </c:pt>
                <c:pt idx="25">
                  <c:v>176.0</c:v>
                </c:pt>
                <c:pt idx="26">
                  <c:v>166.0</c:v>
                </c:pt>
                <c:pt idx="27">
                  <c:v>165.0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N. India</c:v>
                </c:pt>
              </c:strCache>
            </c:strRef>
          </c:tx>
          <c:cat>
            <c:numRef>
              <c:f>Sheet1!$A$2:$A$32</c:f>
              <c:numCache>
                <c:formatCode>General</c:formatCode>
                <c:ptCount val="31"/>
                <c:pt idx="0">
                  <c:v>1.0</c:v>
                </c:pt>
                <c:pt idx="1">
                  <c:v>2.0</c:v>
                </c:pt>
                <c:pt idx="2">
                  <c:v>3.0</c:v>
                </c:pt>
                <c:pt idx="3">
                  <c:v>4.0</c:v>
                </c:pt>
                <c:pt idx="4">
                  <c:v>5.0</c:v>
                </c:pt>
                <c:pt idx="5">
                  <c:v>6.0</c:v>
                </c:pt>
                <c:pt idx="6">
                  <c:v>7.0</c:v>
                </c:pt>
                <c:pt idx="7">
                  <c:v>8.0</c:v>
                </c:pt>
                <c:pt idx="8">
                  <c:v>9.0</c:v>
                </c:pt>
                <c:pt idx="9">
                  <c:v>10.0</c:v>
                </c:pt>
                <c:pt idx="10">
                  <c:v>11.0</c:v>
                </c:pt>
                <c:pt idx="11">
                  <c:v>12.0</c:v>
                </c:pt>
                <c:pt idx="12">
                  <c:v>13.0</c:v>
                </c:pt>
                <c:pt idx="13">
                  <c:v>14.0</c:v>
                </c:pt>
                <c:pt idx="14">
                  <c:v>15.0</c:v>
                </c:pt>
                <c:pt idx="15">
                  <c:v>16.0</c:v>
                </c:pt>
                <c:pt idx="16">
                  <c:v>17.0</c:v>
                </c:pt>
                <c:pt idx="17">
                  <c:v>18.0</c:v>
                </c:pt>
                <c:pt idx="18">
                  <c:v>19.0</c:v>
                </c:pt>
                <c:pt idx="19">
                  <c:v>20.0</c:v>
                </c:pt>
                <c:pt idx="20">
                  <c:v>21.0</c:v>
                </c:pt>
                <c:pt idx="21">
                  <c:v>22.0</c:v>
                </c:pt>
                <c:pt idx="22">
                  <c:v>23.0</c:v>
                </c:pt>
                <c:pt idx="23">
                  <c:v>24.0</c:v>
                </c:pt>
                <c:pt idx="24">
                  <c:v>25.0</c:v>
                </c:pt>
                <c:pt idx="25">
                  <c:v>26.0</c:v>
                </c:pt>
                <c:pt idx="26">
                  <c:v>27.0</c:v>
                </c:pt>
                <c:pt idx="27">
                  <c:v>28.0</c:v>
                </c:pt>
                <c:pt idx="28">
                  <c:v>29.0</c:v>
                </c:pt>
                <c:pt idx="29">
                  <c:v>30.0</c:v>
                </c:pt>
                <c:pt idx="30">
                  <c:v>31.0</c:v>
                </c:pt>
              </c:numCache>
            </c:numRef>
          </c:cat>
          <c:val>
            <c:numRef>
              <c:f>Sheet1!$E$2:$E$32</c:f>
              <c:numCache>
                <c:formatCode>General</c:formatCode>
                <c:ptCount val="31"/>
                <c:pt idx="6">
                  <c:v>212.0</c:v>
                </c:pt>
                <c:pt idx="7">
                  <c:v>212.0</c:v>
                </c:pt>
                <c:pt idx="8">
                  <c:v>212.0</c:v>
                </c:pt>
                <c:pt idx="9">
                  <c:v>212.0</c:v>
                </c:pt>
                <c:pt idx="10">
                  <c:v>212.0</c:v>
                </c:pt>
                <c:pt idx="11">
                  <c:v>212.0</c:v>
                </c:pt>
                <c:pt idx="12">
                  <c:v>212.0</c:v>
                </c:pt>
                <c:pt idx="13">
                  <c:v>212.0</c:v>
                </c:pt>
                <c:pt idx="14">
                  <c:v>270.0</c:v>
                </c:pt>
                <c:pt idx="15">
                  <c:v>270.0</c:v>
                </c:pt>
                <c:pt idx="16">
                  <c:v>270.0</c:v>
                </c:pt>
                <c:pt idx="17">
                  <c:v>270.0</c:v>
                </c:pt>
                <c:pt idx="18">
                  <c:v>270.0</c:v>
                </c:pt>
                <c:pt idx="19">
                  <c:v>270.0</c:v>
                </c:pt>
                <c:pt idx="20">
                  <c:v>265.0</c:v>
                </c:pt>
                <c:pt idx="21">
                  <c:v>265.0</c:v>
                </c:pt>
                <c:pt idx="22">
                  <c:v>265.0</c:v>
                </c:pt>
                <c:pt idx="23">
                  <c:v>290.0</c:v>
                </c:pt>
                <c:pt idx="24">
                  <c:v>290.0</c:v>
                </c:pt>
                <c:pt idx="25">
                  <c:v>290.0</c:v>
                </c:pt>
                <c:pt idx="26">
                  <c:v>290.0</c:v>
                </c:pt>
                <c:pt idx="27">
                  <c:v>290.0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S. India</c:v>
                </c:pt>
              </c:strCache>
            </c:strRef>
          </c:tx>
          <c:cat>
            <c:numRef>
              <c:f>Sheet1!$A$2:$A$32</c:f>
              <c:numCache>
                <c:formatCode>General</c:formatCode>
                <c:ptCount val="31"/>
                <c:pt idx="0">
                  <c:v>1.0</c:v>
                </c:pt>
                <c:pt idx="1">
                  <c:v>2.0</c:v>
                </c:pt>
                <c:pt idx="2">
                  <c:v>3.0</c:v>
                </c:pt>
                <c:pt idx="3">
                  <c:v>4.0</c:v>
                </c:pt>
                <c:pt idx="4">
                  <c:v>5.0</c:v>
                </c:pt>
                <c:pt idx="5">
                  <c:v>6.0</c:v>
                </c:pt>
                <c:pt idx="6">
                  <c:v>7.0</c:v>
                </c:pt>
                <c:pt idx="7">
                  <c:v>8.0</c:v>
                </c:pt>
                <c:pt idx="8">
                  <c:v>9.0</c:v>
                </c:pt>
                <c:pt idx="9">
                  <c:v>10.0</c:v>
                </c:pt>
                <c:pt idx="10">
                  <c:v>11.0</c:v>
                </c:pt>
                <c:pt idx="11">
                  <c:v>12.0</c:v>
                </c:pt>
                <c:pt idx="12">
                  <c:v>13.0</c:v>
                </c:pt>
                <c:pt idx="13">
                  <c:v>14.0</c:v>
                </c:pt>
                <c:pt idx="14">
                  <c:v>15.0</c:v>
                </c:pt>
                <c:pt idx="15">
                  <c:v>16.0</c:v>
                </c:pt>
                <c:pt idx="16">
                  <c:v>17.0</c:v>
                </c:pt>
                <c:pt idx="17">
                  <c:v>18.0</c:v>
                </c:pt>
                <c:pt idx="18">
                  <c:v>19.0</c:v>
                </c:pt>
                <c:pt idx="19">
                  <c:v>20.0</c:v>
                </c:pt>
                <c:pt idx="20">
                  <c:v>21.0</c:v>
                </c:pt>
                <c:pt idx="21">
                  <c:v>22.0</c:v>
                </c:pt>
                <c:pt idx="22">
                  <c:v>23.0</c:v>
                </c:pt>
                <c:pt idx="23">
                  <c:v>24.0</c:v>
                </c:pt>
                <c:pt idx="24">
                  <c:v>25.0</c:v>
                </c:pt>
                <c:pt idx="25">
                  <c:v>26.0</c:v>
                </c:pt>
                <c:pt idx="26">
                  <c:v>27.0</c:v>
                </c:pt>
                <c:pt idx="27">
                  <c:v>28.0</c:v>
                </c:pt>
                <c:pt idx="28">
                  <c:v>29.0</c:v>
                </c:pt>
                <c:pt idx="29">
                  <c:v>30.0</c:v>
                </c:pt>
                <c:pt idx="30">
                  <c:v>31.0</c:v>
                </c:pt>
              </c:numCache>
            </c:numRef>
          </c:cat>
          <c:val>
            <c:numRef>
              <c:f>Sheet1!$F$2:$F$32</c:f>
              <c:numCache>
                <c:formatCode>General</c:formatCode>
                <c:ptCount val="31"/>
                <c:pt idx="0">
                  <c:v>180.0</c:v>
                </c:pt>
                <c:pt idx="1">
                  <c:v>166.0</c:v>
                </c:pt>
                <c:pt idx="2">
                  <c:v>167.0</c:v>
                </c:pt>
                <c:pt idx="3">
                  <c:v>167.0</c:v>
                </c:pt>
                <c:pt idx="4">
                  <c:v>192.0</c:v>
                </c:pt>
                <c:pt idx="5">
                  <c:v>185.0</c:v>
                </c:pt>
                <c:pt idx="6">
                  <c:v>185.0</c:v>
                </c:pt>
                <c:pt idx="7">
                  <c:v>185.0</c:v>
                </c:pt>
                <c:pt idx="8">
                  <c:v>193.0</c:v>
                </c:pt>
                <c:pt idx="9">
                  <c:v>183.0</c:v>
                </c:pt>
                <c:pt idx="10">
                  <c:v>177.0</c:v>
                </c:pt>
                <c:pt idx="11">
                  <c:v>160.0</c:v>
                </c:pt>
                <c:pt idx="12">
                  <c:v>177.0</c:v>
                </c:pt>
                <c:pt idx="14">
                  <c:v>168.0</c:v>
                </c:pt>
                <c:pt idx="15">
                  <c:v>183.0</c:v>
                </c:pt>
                <c:pt idx="16">
                  <c:v>183.0</c:v>
                </c:pt>
                <c:pt idx="17">
                  <c:v>185.0</c:v>
                </c:pt>
                <c:pt idx="18">
                  <c:v>185.0</c:v>
                </c:pt>
                <c:pt idx="19">
                  <c:v>183.0</c:v>
                </c:pt>
                <c:pt idx="20">
                  <c:v>180.0</c:v>
                </c:pt>
                <c:pt idx="21">
                  <c:v>190.0</c:v>
                </c:pt>
                <c:pt idx="22">
                  <c:v>190.0</c:v>
                </c:pt>
                <c:pt idx="23">
                  <c:v>189.0</c:v>
                </c:pt>
                <c:pt idx="24">
                  <c:v>189.0</c:v>
                </c:pt>
                <c:pt idx="25">
                  <c:v>189.0</c:v>
                </c:pt>
                <c:pt idx="26">
                  <c:v>180.0</c:v>
                </c:pt>
                <c:pt idx="27">
                  <c:v>190.0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Sri Lanka</c:v>
                </c:pt>
              </c:strCache>
            </c:strRef>
          </c:tx>
          <c:cat>
            <c:numRef>
              <c:f>Sheet1!$A$2:$A$32</c:f>
              <c:numCache>
                <c:formatCode>General</c:formatCode>
                <c:ptCount val="31"/>
                <c:pt idx="0">
                  <c:v>1.0</c:v>
                </c:pt>
                <c:pt idx="1">
                  <c:v>2.0</c:v>
                </c:pt>
                <c:pt idx="2">
                  <c:v>3.0</c:v>
                </c:pt>
                <c:pt idx="3">
                  <c:v>4.0</c:v>
                </c:pt>
                <c:pt idx="4">
                  <c:v>5.0</c:v>
                </c:pt>
                <c:pt idx="5">
                  <c:v>6.0</c:v>
                </c:pt>
                <c:pt idx="6">
                  <c:v>7.0</c:v>
                </c:pt>
                <c:pt idx="7">
                  <c:v>8.0</c:v>
                </c:pt>
                <c:pt idx="8">
                  <c:v>9.0</c:v>
                </c:pt>
                <c:pt idx="9">
                  <c:v>10.0</c:v>
                </c:pt>
                <c:pt idx="10">
                  <c:v>11.0</c:v>
                </c:pt>
                <c:pt idx="11">
                  <c:v>12.0</c:v>
                </c:pt>
                <c:pt idx="12">
                  <c:v>13.0</c:v>
                </c:pt>
                <c:pt idx="13">
                  <c:v>14.0</c:v>
                </c:pt>
                <c:pt idx="14">
                  <c:v>15.0</c:v>
                </c:pt>
                <c:pt idx="15">
                  <c:v>16.0</c:v>
                </c:pt>
                <c:pt idx="16">
                  <c:v>17.0</c:v>
                </c:pt>
                <c:pt idx="17">
                  <c:v>18.0</c:v>
                </c:pt>
                <c:pt idx="18">
                  <c:v>19.0</c:v>
                </c:pt>
                <c:pt idx="19">
                  <c:v>20.0</c:v>
                </c:pt>
                <c:pt idx="20">
                  <c:v>21.0</c:v>
                </c:pt>
                <c:pt idx="21">
                  <c:v>22.0</c:v>
                </c:pt>
                <c:pt idx="22">
                  <c:v>23.0</c:v>
                </c:pt>
                <c:pt idx="23">
                  <c:v>24.0</c:v>
                </c:pt>
                <c:pt idx="24">
                  <c:v>25.0</c:v>
                </c:pt>
                <c:pt idx="25">
                  <c:v>26.0</c:v>
                </c:pt>
                <c:pt idx="26">
                  <c:v>27.0</c:v>
                </c:pt>
                <c:pt idx="27">
                  <c:v>28.0</c:v>
                </c:pt>
                <c:pt idx="28">
                  <c:v>29.0</c:v>
                </c:pt>
                <c:pt idx="29">
                  <c:v>30.0</c:v>
                </c:pt>
                <c:pt idx="30">
                  <c:v>31.0</c:v>
                </c:pt>
              </c:numCache>
            </c:numRef>
          </c:cat>
          <c:val>
            <c:numRef>
              <c:f>Sheet1!$G$2:$G$32</c:f>
              <c:numCache>
                <c:formatCode>General</c:formatCode>
                <c:ptCount val="31"/>
                <c:pt idx="0">
                  <c:v>297.0</c:v>
                </c:pt>
                <c:pt idx="1">
                  <c:v>323.0</c:v>
                </c:pt>
                <c:pt idx="2">
                  <c:v>331.0</c:v>
                </c:pt>
                <c:pt idx="3">
                  <c:v>322.0</c:v>
                </c:pt>
                <c:pt idx="4">
                  <c:v>325.0</c:v>
                </c:pt>
                <c:pt idx="6">
                  <c:v>327.0</c:v>
                </c:pt>
                <c:pt idx="7">
                  <c:v>327.0</c:v>
                </c:pt>
                <c:pt idx="8">
                  <c:v>346.0</c:v>
                </c:pt>
                <c:pt idx="9">
                  <c:v>342.0</c:v>
                </c:pt>
                <c:pt idx="10">
                  <c:v>353.0</c:v>
                </c:pt>
                <c:pt idx="11">
                  <c:v>357.0</c:v>
                </c:pt>
                <c:pt idx="12">
                  <c:v>323.0</c:v>
                </c:pt>
                <c:pt idx="13">
                  <c:v>346.0</c:v>
                </c:pt>
                <c:pt idx="14">
                  <c:v>338.0</c:v>
                </c:pt>
                <c:pt idx="16">
                  <c:v>358.0</c:v>
                </c:pt>
                <c:pt idx="17">
                  <c:v>269.0</c:v>
                </c:pt>
                <c:pt idx="18">
                  <c:v>270.0</c:v>
                </c:pt>
                <c:pt idx="19">
                  <c:v>274.0</c:v>
                </c:pt>
                <c:pt idx="21">
                  <c:v>313.0</c:v>
                </c:pt>
                <c:pt idx="22">
                  <c:v>277.0</c:v>
                </c:pt>
                <c:pt idx="23">
                  <c:v>302.0</c:v>
                </c:pt>
                <c:pt idx="24">
                  <c:v>318.0</c:v>
                </c:pt>
                <c:pt idx="25">
                  <c:v>329.0</c:v>
                </c:pt>
                <c:pt idx="26">
                  <c:v>341.0</c:v>
                </c:pt>
                <c:pt idx="27">
                  <c:v>352.0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110949240"/>
        <c:axId val="-2110943672"/>
      </c:lineChart>
      <c:catAx>
        <c:axId val="-211094924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200"/>
                </a:pPr>
                <a:r>
                  <a:rPr lang="en-US" sz="1200"/>
                  <a:t>Week Number</a:t>
                </a:r>
              </a:p>
            </c:rich>
          </c:tx>
          <c:layout>
            <c:manualLayout>
              <c:xMode val="edge"/>
              <c:yMode val="edge"/>
              <c:x val="0.477318473408347"/>
              <c:y val="0.933333333333333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crossAx val="-2110943672"/>
        <c:crosses val="autoZero"/>
        <c:auto val="1"/>
        <c:lblAlgn val="ctr"/>
        <c:lblOffset val="100"/>
        <c:noMultiLvlLbl val="0"/>
      </c:catAx>
      <c:valAx>
        <c:axId val="-2110943672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1200"/>
                </a:pPr>
                <a:r>
                  <a:rPr lang="en-US" sz="1200"/>
                  <a:t>Price of Tea in</a:t>
                </a:r>
                <a:r>
                  <a:rPr lang="en-US" sz="1200" baseline="0"/>
                  <a:t> US cents</a:t>
                </a:r>
                <a:endParaRPr lang="en-US" sz="1200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-211094924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 sz="1500"/>
            </a:pPr>
            <a:r>
              <a:rPr lang="en-US" sz="1500" b="1">
                <a:effectLst/>
              </a:rPr>
              <a:t>Weekly Auction Prices (USC/Kilo</a:t>
            </a:r>
            <a:r>
              <a:rPr lang="en-US" sz="1500" b="1" baseline="0">
                <a:effectLst/>
              </a:rPr>
              <a:t> FOB</a:t>
            </a:r>
            <a:r>
              <a:rPr lang="en-US" sz="1500" b="1">
                <a:effectLst/>
              </a:rPr>
              <a:t>)</a:t>
            </a:r>
            <a:endParaRPr lang="en-US" sz="1500">
              <a:effectLst/>
            </a:endParaRP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105146345343196"/>
          <c:y val="0.17603305785124"/>
          <c:w val="0.761781993159946"/>
          <c:h val="0.70688748617166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</c:spPr>
          <c:invertIfNegative val="0"/>
          <c:cat>
            <c:strRef>
              <c:f>Sheet1!$A$2:$A$7</c:f>
              <c:strCache>
                <c:ptCount val="6"/>
                <c:pt idx="0">
                  <c:v>Kenya</c:v>
                </c:pt>
                <c:pt idx="1">
                  <c:v>Malawi</c:v>
                </c:pt>
                <c:pt idx="2">
                  <c:v>Indonesia</c:v>
                </c:pt>
                <c:pt idx="3">
                  <c:v>N. India</c:v>
                </c:pt>
                <c:pt idx="4">
                  <c:v>S. India</c:v>
                </c:pt>
                <c:pt idx="5">
                  <c:v>Sri Lanka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1">
                  <c:v>156.0</c:v>
                </c:pt>
                <c:pt idx="2">
                  <c:v>165.0</c:v>
                </c:pt>
                <c:pt idx="3">
                  <c:v>290.0</c:v>
                </c:pt>
                <c:pt idx="4">
                  <c:v>190.0</c:v>
                </c:pt>
                <c:pt idx="5">
                  <c:v>352.0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invertIfNegative val="0"/>
          <c:cat>
            <c:strRef>
              <c:f>Sheet1!$A$2:$A$7</c:f>
              <c:strCache>
                <c:ptCount val="6"/>
                <c:pt idx="0">
                  <c:v>Kenya</c:v>
                </c:pt>
                <c:pt idx="1">
                  <c:v>Malawi</c:v>
                </c:pt>
                <c:pt idx="2">
                  <c:v>Indonesia</c:v>
                </c:pt>
                <c:pt idx="3">
                  <c:v>N. India</c:v>
                </c:pt>
                <c:pt idx="4">
                  <c:v>S. India</c:v>
                </c:pt>
                <c:pt idx="5">
                  <c:v>Sri Lanka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214.0</c:v>
                </c:pt>
                <c:pt idx="1">
                  <c:v>129.0</c:v>
                </c:pt>
                <c:pt idx="2">
                  <c:v>171.0</c:v>
                </c:pt>
                <c:pt idx="3">
                  <c:v>310.0</c:v>
                </c:pt>
                <c:pt idx="4">
                  <c:v>164.0</c:v>
                </c:pt>
                <c:pt idx="5">
                  <c:v>315.0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2091096568"/>
        <c:axId val="-2091110184"/>
      </c:barChart>
      <c:catAx>
        <c:axId val="-2091096568"/>
        <c:scaling>
          <c:orientation val="minMax"/>
        </c:scaling>
        <c:delete val="0"/>
        <c:axPos val="b"/>
        <c:majorTickMark val="none"/>
        <c:minorTickMark val="none"/>
        <c:tickLblPos val="nextTo"/>
        <c:crossAx val="-2091110184"/>
        <c:crosses val="autoZero"/>
        <c:auto val="1"/>
        <c:lblAlgn val="ctr"/>
        <c:lblOffset val="100"/>
        <c:noMultiLvlLbl val="0"/>
      </c:catAx>
      <c:valAx>
        <c:axId val="-2091110184"/>
        <c:scaling>
          <c:orientation val="minMax"/>
          <c:min val="120.0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-209109656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en-US" sz="1400"/>
              <a:t>AVG Prices</a:t>
            </a:r>
            <a:r>
              <a:rPr lang="en-US" sz="1400" baseline="0"/>
              <a:t> Year to Date (USC/Kilo FOB)</a:t>
            </a:r>
            <a:endParaRPr lang="en-US" sz="1400"/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0739998779222365"/>
          <c:y val="0.186734693877551"/>
          <c:w val="0.756242039512503"/>
          <c:h val="0.63809577374256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rgbClr val="FFBF00"/>
            </a:solidFill>
          </c:spPr>
          <c:invertIfNegative val="0"/>
          <c:cat>
            <c:strRef>
              <c:f>Sheet1!$A$2:$A$7</c:f>
              <c:strCache>
                <c:ptCount val="6"/>
                <c:pt idx="0">
                  <c:v>Kenya</c:v>
                </c:pt>
                <c:pt idx="1">
                  <c:v>Malawi</c:v>
                </c:pt>
                <c:pt idx="2">
                  <c:v>Indonesia</c:v>
                </c:pt>
                <c:pt idx="3">
                  <c:v>N. India</c:v>
                </c:pt>
                <c:pt idx="4">
                  <c:v>S. India</c:v>
                </c:pt>
                <c:pt idx="5">
                  <c:v>Sri Lanka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299.0</c:v>
                </c:pt>
                <c:pt idx="1">
                  <c:v>152.0</c:v>
                </c:pt>
                <c:pt idx="2">
                  <c:v>173.0</c:v>
                </c:pt>
                <c:pt idx="3">
                  <c:v>253.0</c:v>
                </c:pt>
                <c:pt idx="4">
                  <c:v>182.0</c:v>
                </c:pt>
                <c:pt idx="5">
                  <c:v>319.0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rgbClr val="58B400"/>
            </a:solidFill>
          </c:spPr>
          <c:invertIfNegative val="0"/>
          <c:cat>
            <c:strRef>
              <c:f>Sheet1!$A$2:$A$7</c:f>
              <c:strCache>
                <c:ptCount val="6"/>
                <c:pt idx="0">
                  <c:v>Kenya</c:v>
                </c:pt>
                <c:pt idx="1">
                  <c:v>Malawi</c:v>
                </c:pt>
                <c:pt idx="2">
                  <c:v>Indonesia</c:v>
                </c:pt>
                <c:pt idx="3">
                  <c:v>N. India</c:v>
                </c:pt>
                <c:pt idx="4">
                  <c:v>S. India</c:v>
                </c:pt>
                <c:pt idx="5">
                  <c:v>Sri Lanka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215.0</c:v>
                </c:pt>
                <c:pt idx="1">
                  <c:v>142.0</c:v>
                </c:pt>
                <c:pt idx="2">
                  <c:v>177.0</c:v>
                </c:pt>
                <c:pt idx="3">
                  <c:v>226.0</c:v>
                </c:pt>
                <c:pt idx="4">
                  <c:v>175.0</c:v>
                </c:pt>
                <c:pt idx="5">
                  <c:v>334.0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2096779624"/>
        <c:axId val="-2096776648"/>
      </c:barChart>
      <c:catAx>
        <c:axId val="-2096779624"/>
        <c:scaling>
          <c:orientation val="minMax"/>
        </c:scaling>
        <c:delete val="0"/>
        <c:axPos val="b"/>
        <c:majorTickMark val="out"/>
        <c:minorTickMark val="none"/>
        <c:tickLblPos val="nextTo"/>
        <c:crossAx val="-2096776648"/>
        <c:crosses val="autoZero"/>
        <c:auto val="1"/>
        <c:lblAlgn val="ctr"/>
        <c:lblOffset val="100"/>
        <c:noMultiLvlLbl val="0"/>
      </c:catAx>
      <c:valAx>
        <c:axId val="-2096776648"/>
        <c:scaling>
          <c:orientation val="minMax"/>
          <c:min val="120.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-209677962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50</Characters>
  <Application>Microsoft Macintosh Word</Application>
  <DocSecurity>0</DocSecurity>
  <Lines>1</Lines>
  <Paragraphs>1</Paragraphs>
  <ScaleCrop>false</ScaleCrop>
  <Company>Henry P. Thomson Inc.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Thomson</dc:creator>
  <cp:keywords/>
  <dc:description/>
  <cp:lastModifiedBy>Henry Thomson</cp:lastModifiedBy>
  <cp:revision>3</cp:revision>
  <dcterms:created xsi:type="dcterms:W3CDTF">2015-07-10T14:13:00Z</dcterms:created>
  <dcterms:modified xsi:type="dcterms:W3CDTF">2015-07-10T14:14:00Z</dcterms:modified>
</cp:coreProperties>
</file>