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4EC678AD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C451CB">
        <w:rPr>
          <w:sz w:val="38"/>
          <w:szCs w:val="38"/>
          <w:u w:val="single"/>
        </w:rPr>
        <w:t>42</w:t>
      </w:r>
      <w:r w:rsidR="00C550B9">
        <w:rPr>
          <w:sz w:val="38"/>
          <w:szCs w:val="38"/>
          <w:u w:val="single"/>
        </w:rPr>
        <w:t>:</w:t>
      </w:r>
      <w:r w:rsidR="0037365F">
        <w:rPr>
          <w:sz w:val="38"/>
          <w:szCs w:val="38"/>
          <w:u w:val="single"/>
        </w:rPr>
        <w:t xml:space="preserve"> </w:t>
      </w:r>
      <w:r w:rsidR="00C451CB">
        <w:rPr>
          <w:sz w:val="38"/>
          <w:szCs w:val="38"/>
          <w:u w:val="single"/>
        </w:rPr>
        <w:t>October 12-16</w:t>
      </w:r>
      <w:r w:rsidR="000B6AF4">
        <w:rPr>
          <w:sz w:val="38"/>
          <w:szCs w:val="38"/>
          <w:u w:val="single"/>
        </w:rPr>
        <w:t>,</w:t>
      </w:r>
      <w:r w:rsidR="001565AA">
        <w:rPr>
          <w:sz w:val="38"/>
          <w:szCs w:val="38"/>
          <w:u w:val="single"/>
        </w:rPr>
        <w:t xml:space="preserve"> 2015</w:t>
      </w:r>
    </w:p>
    <w:p w14:paraId="73BC8722" w14:textId="4A4F09C7" w:rsidR="00AA34A2" w:rsidRDefault="00C451CB">
      <w:r>
        <w:rPr>
          <w:noProof/>
        </w:rPr>
        <w:drawing>
          <wp:inline distT="0" distB="0" distL="0" distR="0" wp14:anchorId="5536E9B7" wp14:editId="5FBFFEC5">
            <wp:extent cx="9601200" cy="3492500"/>
            <wp:effectExtent l="0" t="0" r="25400" b="127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59A30554" w:rsidR="00B51354" w:rsidRPr="00AA2F1F" w:rsidRDefault="008E221A" w:rsidP="00E01DCE">
      <w:r>
        <w:t xml:space="preserve">  </w:t>
      </w:r>
      <w:r w:rsidR="00B51354">
        <w:t xml:space="preserve">  </w:t>
      </w:r>
      <w:r w:rsidR="00C451CB">
        <w:rPr>
          <w:noProof/>
        </w:rPr>
        <w:drawing>
          <wp:inline distT="0" distB="0" distL="0" distR="0" wp14:anchorId="459FD3D1" wp14:editId="088C92F5">
            <wp:extent cx="4546600" cy="3073400"/>
            <wp:effectExtent l="0" t="0" r="254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B51354">
        <w:t xml:space="preserve">     </w:t>
      </w:r>
      <w:r w:rsidR="00C451CB">
        <w:rPr>
          <w:noProof/>
        </w:rPr>
        <w:drawing>
          <wp:inline distT="0" distB="0" distL="0" distR="0" wp14:anchorId="5E1040C1" wp14:editId="260F3300">
            <wp:extent cx="4686300" cy="2976880"/>
            <wp:effectExtent l="0" t="0" r="127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B6AF4"/>
    <w:rsid w:val="000E16F9"/>
    <w:rsid w:val="000F4269"/>
    <w:rsid w:val="000F7E82"/>
    <w:rsid w:val="00104A9E"/>
    <w:rsid w:val="001267CD"/>
    <w:rsid w:val="001337CC"/>
    <w:rsid w:val="00142AF1"/>
    <w:rsid w:val="001472F2"/>
    <w:rsid w:val="001565AA"/>
    <w:rsid w:val="0015685A"/>
    <w:rsid w:val="00165633"/>
    <w:rsid w:val="00180BA0"/>
    <w:rsid w:val="001970B3"/>
    <w:rsid w:val="001C397C"/>
    <w:rsid w:val="001D0F9B"/>
    <w:rsid w:val="001E2DB0"/>
    <w:rsid w:val="00224736"/>
    <w:rsid w:val="002250A4"/>
    <w:rsid w:val="00241756"/>
    <w:rsid w:val="00254C06"/>
    <w:rsid w:val="0025696E"/>
    <w:rsid w:val="00266AE7"/>
    <w:rsid w:val="00276A12"/>
    <w:rsid w:val="00276E48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7365F"/>
    <w:rsid w:val="003A4ABE"/>
    <w:rsid w:val="003A7945"/>
    <w:rsid w:val="003B5A10"/>
    <w:rsid w:val="003F0F0B"/>
    <w:rsid w:val="004100BF"/>
    <w:rsid w:val="004136F6"/>
    <w:rsid w:val="0043231D"/>
    <w:rsid w:val="004323E4"/>
    <w:rsid w:val="00454335"/>
    <w:rsid w:val="0049396F"/>
    <w:rsid w:val="004C0082"/>
    <w:rsid w:val="004C0084"/>
    <w:rsid w:val="004C5896"/>
    <w:rsid w:val="004D00EA"/>
    <w:rsid w:val="004F1BDB"/>
    <w:rsid w:val="004F71C0"/>
    <w:rsid w:val="00505163"/>
    <w:rsid w:val="005169F0"/>
    <w:rsid w:val="005238D1"/>
    <w:rsid w:val="00590B53"/>
    <w:rsid w:val="005C224B"/>
    <w:rsid w:val="005C7922"/>
    <w:rsid w:val="006124F3"/>
    <w:rsid w:val="0061734A"/>
    <w:rsid w:val="00645C3E"/>
    <w:rsid w:val="00651CF7"/>
    <w:rsid w:val="00662A00"/>
    <w:rsid w:val="006723BC"/>
    <w:rsid w:val="0068327F"/>
    <w:rsid w:val="006879D4"/>
    <w:rsid w:val="006906ED"/>
    <w:rsid w:val="006B4380"/>
    <w:rsid w:val="006B4E57"/>
    <w:rsid w:val="006D0DDF"/>
    <w:rsid w:val="006E54AD"/>
    <w:rsid w:val="007142CD"/>
    <w:rsid w:val="007222AA"/>
    <w:rsid w:val="007411E6"/>
    <w:rsid w:val="00741945"/>
    <w:rsid w:val="00747A39"/>
    <w:rsid w:val="00756BAA"/>
    <w:rsid w:val="007819C6"/>
    <w:rsid w:val="007824C1"/>
    <w:rsid w:val="00790CFE"/>
    <w:rsid w:val="007923FB"/>
    <w:rsid w:val="007B63E6"/>
    <w:rsid w:val="007D7EB2"/>
    <w:rsid w:val="00804BCF"/>
    <w:rsid w:val="00816C6E"/>
    <w:rsid w:val="0083184E"/>
    <w:rsid w:val="00855866"/>
    <w:rsid w:val="00873351"/>
    <w:rsid w:val="00897B0A"/>
    <w:rsid w:val="008A31AD"/>
    <w:rsid w:val="008E221A"/>
    <w:rsid w:val="008E68EE"/>
    <w:rsid w:val="008F203B"/>
    <w:rsid w:val="008F7EBA"/>
    <w:rsid w:val="00915A81"/>
    <w:rsid w:val="00915C37"/>
    <w:rsid w:val="009244FC"/>
    <w:rsid w:val="00957379"/>
    <w:rsid w:val="00965066"/>
    <w:rsid w:val="0096653A"/>
    <w:rsid w:val="009A4BBB"/>
    <w:rsid w:val="009A7506"/>
    <w:rsid w:val="009B537A"/>
    <w:rsid w:val="009D1B08"/>
    <w:rsid w:val="009D4F56"/>
    <w:rsid w:val="009F50EA"/>
    <w:rsid w:val="009F632B"/>
    <w:rsid w:val="00A110DA"/>
    <w:rsid w:val="00A22DB0"/>
    <w:rsid w:val="00A50E02"/>
    <w:rsid w:val="00A54358"/>
    <w:rsid w:val="00A57289"/>
    <w:rsid w:val="00A7202E"/>
    <w:rsid w:val="00A7582C"/>
    <w:rsid w:val="00AA08E3"/>
    <w:rsid w:val="00AA2F1F"/>
    <w:rsid w:val="00AA34A2"/>
    <w:rsid w:val="00AB51E8"/>
    <w:rsid w:val="00AD7506"/>
    <w:rsid w:val="00B03BB0"/>
    <w:rsid w:val="00B51354"/>
    <w:rsid w:val="00B5573C"/>
    <w:rsid w:val="00B72E62"/>
    <w:rsid w:val="00B91D21"/>
    <w:rsid w:val="00B93C17"/>
    <w:rsid w:val="00BC1D29"/>
    <w:rsid w:val="00BF695E"/>
    <w:rsid w:val="00C17A62"/>
    <w:rsid w:val="00C3231E"/>
    <w:rsid w:val="00C3696A"/>
    <w:rsid w:val="00C42823"/>
    <w:rsid w:val="00C451CB"/>
    <w:rsid w:val="00C550B9"/>
    <w:rsid w:val="00C6768F"/>
    <w:rsid w:val="00C74475"/>
    <w:rsid w:val="00C85FF1"/>
    <w:rsid w:val="00C932D7"/>
    <w:rsid w:val="00CA7341"/>
    <w:rsid w:val="00CB743D"/>
    <w:rsid w:val="00CF7575"/>
    <w:rsid w:val="00D200D7"/>
    <w:rsid w:val="00D5213B"/>
    <w:rsid w:val="00D522E9"/>
    <w:rsid w:val="00D66DA3"/>
    <w:rsid w:val="00D71682"/>
    <w:rsid w:val="00D97AF0"/>
    <w:rsid w:val="00DD5FDF"/>
    <w:rsid w:val="00DD7632"/>
    <w:rsid w:val="00DE2626"/>
    <w:rsid w:val="00DF0383"/>
    <w:rsid w:val="00DF7D64"/>
    <w:rsid w:val="00E01DCE"/>
    <w:rsid w:val="00E14737"/>
    <w:rsid w:val="00E62DC3"/>
    <w:rsid w:val="00E71B45"/>
    <w:rsid w:val="00E85525"/>
    <w:rsid w:val="00E87AE7"/>
    <w:rsid w:val="00EA04ED"/>
    <w:rsid w:val="00EA7664"/>
    <w:rsid w:val="00EB0CBD"/>
    <w:rsid w:val="00EB1BE4"/>
    <w:rsid w:val="00EB6DBC"/>
    <w:rsid w:val="00EC1D73"/>
    <w:rsid w:val="00F04F1C"/>
    <w:rsid w:val="00F068B9"/>
    <w:rsid w:val="00F119F6"/>
    <w:rsid w:val="00F20048"/>
    <w:rsid w:val="00F2071A"/>
    <w:rsid w:val="00F2736D"/>
    <w:rsid w:val="00F30216"/>
    <w:rsid w:val="00F364C9"/>
    <w:rsid w:val="00F53150"/>
    <w:rsid w:val="00FA3750"/>
    <w:rsid w:val="00FB35E4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5%20Market%20Reports:2015%20Auction%20Prices%20wk%204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2015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Sheet1!$B$2:$B$47</c:f>
              <c:numCache>
                <c:formatCode>General</c:formatCode>
                <c:ptCount val="46"/>
                <c:pt idx="1">
                  <c:v>241.0</c:v>
                </c:pt>
                <c:pt idx="2">
                  <c:v>259.0</c:v>
                </c:pt>
                <c:pt idx="3">
                  <c:v>260.0</c:v>
                </c:pt>
                <c:pt idx="4">
                  <c:v>268.0</c:v>
                </c:pt>
                <c:pt idx="5">
                  <c:v>261.0</c:v>
                </c:pt>
                <c:pt idx="6">
                  <c:v>266.0</c:v>
                </c:pt>
                <c:pt idx="7">
                  <c:v>275.0</c:v>
                </c:pt>
                <c:pt idx="8">
                  <c:v>281.0</c:v>
                </c:pt>
                <c:pt idx="9">
                  <c:v>295.0</c:v>
                </c:pt>
                <c:pt idx="10">
                  <c:v>312.0</c:v>
                </c:pt>
                <c:pt idx="11">
                  <c:v>294.0</c:v>
                </c:pt>
                <c:pt idx="12">
                  <c:v>293.0</c:v>
                </c:pt>
                <c:pt idx="13">
                  <c:v>275.0</c:v>
                </c:pt>
                <c:pt idx="14">
                  <c:v>274.0</c:v>
                </c:pt>
                <c:pt idx="15">
                  <c:v>289.0</c:v>
                </c:pt>
                <c:pt idx="16">
                  <c:v>278.0</c:v>
                </c:pt>
                <c:pt idx="17">
                  <c:v>291.0</c:v>
                </c:pt>
                <c:pt idx="18">
                  <c:v>312.0</c:v>
                </c:pt>
                <c:pt idx="19">
                  <c:v>312.0</c:v>
                </c:pt>
                <c:pt idx="20">
                  <c:v>330.0</c:v>
                </c:pt>
                <c:pt idx="21">
                  <c:v>326.0</c:v>
                </c:pt>
                <c:pt idx="22">
                  <c:v>325.0</c:v>
                </c:pt>
                <c:pt idx="23">
                  <c:v>344.0</c:v>
                </c:pt>
                <c:pt idx="24">
                  <c:v>361.0</c:v>
                </c:pt>
                <c:pt idx="25">
                  <c:v>370.0</c:v>
                </c:pt>
                <c:pt idx="26">
                  <c:v>370.0</c:v>
                </c:pt>
                <c:pt idx="28">
                  <c:v>376.0</c:v>
                </c:pt>
                <c:pt idx="29">
                  <c:v>384.0</c:v>
                </c:pt>
                <c:pt idx="30">
                  <c:v>378.0</c:v>
                </c:pt>
                <c:pt idx="31">
                  <c:v>378.0</c:v>
                </c:pt>
                <c:pt idx="32">
                  <c:v>362.0</c:v>
                </c:pt>
                <c:pt idx="33">
                  <c:v>350.0</c:v>
                </c:pt>
                <c:pt idx="34">
                  <c:v>330.0</c:v>
                </c:pt>
                <c:pt idx="35">
                  <c:v>332.0</c:v>
                </c:pt>
                <c:pt idx="36">
                  <c:v>332.0</c:v>
                </c:pt>
                <c:pt idx="37">
                  <c:v>318.0</c:v>
                </c:pt>
                <c:pt idx="38">
                  <c:v>336.0</c:v>
                </c:pt>
                <c:pt idx="39">
                  <c:v>337.0</c:v>
                </c:pt>
                <c:pt idx="40">
                  <c:v>340.0</c:v>
                </c:pt>
                <c:pt idx="41">
                  <c:v>351.0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Sheet1!$C$2:$C$47</c:f>
              <c:numCache>
                <c:formatCode>General</c:formatCode>
                <c:ptCount val="46"/>
                <c:pt idx="1">
                  <c:v>126.0</c:v>
                </c:pt>
                <c:pt idx="2">
                  <c:v>126.0</c:v>
                </c:pt>
                <c:pt idx="3">
                  <c:v>126.0</c:v>
                </c:pt>
                <c:pt idx="4">
                  <c:v>126.0</c:v>
                </c:pt>
                <c:pt idx="5">
                  <c:v>126.0</c:v>
                </c:pt>
                <c:pt idx="6">
                  <c:v>126.0</c:v>
                </c:pt>
                <c:pt idx="7">
                  <c:v>120.0</c:v>
                </c:pt>
                <c:pt idx="8">
                  <c:v>120.0</c:v>
                </c:pt>
                <c:pt idx="9">
                  <c:v>120.0</c:v>
                </c:pt>
                <c:pt idx="10">
                  <c:v>137.0</c:v>
                </c:pt>
                <c:pt idx="11">
                  <c:v>137.0</c:v>
                </c:pt>
                <c:pt idx="12">
                  <c:v>184.0</c:v>
                </c:pt>
                <c:pt idx="13">
                  <c:v>184.0</c:v>
                </c:pt>
                <c:pt idx="14">
                  <c:v>184.0</c:v>
                </c:pt>
                <c:pt idx="15">
                  <c:v>184.0</c:v>
                </c:pt>
                <c:pt idx="16">
                  <c:v>184.0</c:v>
                </c:pt>
                <c:pt idx="17">
                  <c:v>184.0</c:v>
                </c:pt>
                <c:pt idx="18">
                  <c:v>184.0</c:v>
                </c:pt>
                <c:pt idx="19">
                  <c:v>184.0</c:v>
                </c:pt>
                <c:pt idx="20">
                  <c:v>155.0</c:v>
                </c:pt>
                <c:pt idx="21">
                  <c:v>155.0</c:v>
                </c:pt>
                <c:pt idx="22">
                  <c:v>155.0</c:v>
                </c:pt>
                <c:pt idx="23">
                  <c:v>155.0</c:v>
                </c:pt>
                <c:pt idx="24">
                  <c:v>155.0</c:v>
                </c:pt>
                <c:pt idx="25">
                  <c:v>155.0</c:v>
                </c:pt>
                <c:pt idx="26">
                  <c:v>155.0</c:v>
                </c:pt>
                <c:pt idx="27">
                  <c:v>156.0</c:v>
                </c:pt>
                <c:pt idx="28">
                  <c:v>156.0</c:v>
                </c:pt>
                <c:pt idx="29">
                  <c:v>156.0</c:v>
                </c:pt>
                <c:pt idx="30">
                  <c:v>156.0</c:v>
                </c:pt>
                <c:pt idx="31">
                  <c:v>156.0</c:v>
                </c:pt>
                <c:pt idx="32">
                  <c:v>156.0</c:v>
                </c:pt>
                <c:pt idx="33">
                  <c:v>156.0</c:v>
                </c:pt>
                <c:pt idx="34">
                  <c:v>156.0</c:v>
                </c:pt>
                <c:pt idx="35">
                  <c:v>176.0</c:v>
                </c:pt>
                <c:pt idx="36">
                  <c:v>176.0</c:v>
                </c:pt>
                <c:pt idx="37">
                  <c:v>176.0</c:v>
                </c:pt>
                <c:pt idx="38">
                  <c:v>176.0</c:v>
                </c:pt>
                <c:pt idx="39">
                  <c:v>176.0</c:v>
                </c:pt>
                <c:pt idx="40">
                  <c:v>176.0</c:v>
                </c:pt>
                <c:pt idx="41">
                  <c:v>150.0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Sheet1!$D$2:$D$47</c:f>
              <c:numCache>
                <c:formatCode>General</c:formatCode>
                <c:ptCount val="46"/>
                <c:pt idx="1">
                  <c:v>180.0</c:v>
                </c:pt>
                <c:pt idx="2">
                  <c:v>172.0</c:v>
                </c:pt>
                <c:pt idx="3">
                  <c:v>177.0</c:v>
                </c:pt>
                <c:pt idx="4">
                  <c:v>200.0</c:v>
                </c:pt>
                <c:pt idx="5">
                  <c:v>194.0</c:v>
                </c:pt>
                <c:pt idx="6">
                  <c:v>190.0</c:v>
                </c:pt>
                <c:pt idx="7">
                  <c:v>196.0</c:v>
                </c:pt>
                <c:pt idx="8">
                  <c:v>194.0</c:v>
                </c:pt>
                <c:pt idx="9">
                  <c:v>170.0</c:v>
                </c:pt>
                <c:pt idx="10">
                  <c:v>169.0</c:v>
                </c:pt>
                <c:pt idx="11">
                  <c:v>192.0</c:v>
                </c:pt>
                <c:pt idx="12">
                  <c:v>163.0</c:v>
                </c:pt>
                <c:pt idx="13">
                  <c:v>162.0</c:v>
                </c:pt>
                <c:pt idx="14">
                  <c:v>152.0</c:v>
                </c:pt>
                <c:pt idx="15">
                  <c:v>157.0</c:v>
                </c:pt>
                <c:pt idx="16">
                  <c:v>168.0</c:v>
                </c:pt>
                <c:pt idx="17">
                  <c:v>162.0</c:v>
                </c:pt>
                <c:pt idx="18">
                  <c:v>162.0</c:v>
                </c:pt>
                <c:pt idx="19">
                  <c:v>163.0</c:v>
                </c:pt>
                <c:pt idx="20">
                  <c:v>159.0</c:v>
                </c:pt>
                <c:pt idx="21">
                  <c:v>176.0</c:v>
                </c:pt>
                <c:pt idx="22">
                  <c:v>163.0</c:v>
                </c:pt>
                <c:pt idx="23">
                  <c:v>167.0</c:v>
                </c:pt>
                <c:pt idx="24">
                  <c:v>175.0</c:v>
                </c:pt>
                <c:pt idx="25">
                  <c:v>176.0</c:v>
                </c:pt>
                <c:pt idx="26">
                  <c:v>166.0</c:v>
                </c:pt>
                <c:pt idx="27">
                  <c:v>165.0</c:v>
                </c:pt>
                <c:pt idx="28">
                  <c:v>171.0</c:v>
                </c:pt>
                <c:pt idx="29">
                  <c:v>161.0</c:v>
                </c:pt>
                <c:pt idx="30">
                  <c:v>182.0</c:v>
                </c:pt>
                <c:pt idx="31">
                  <c:v>161.0</c:v>
                </c:pt>
                <c:pt idx="32">
                  <c:v>177.0</c:v>
                </c:pt>
                <c:pt idx="33">
                  <c:v>175.0</c:v>
                </c:pt>
                <c:pt idx="34">
                  <c:v>179.0</c:v>
                </c:pt>
                <c:pt idx="35">
                  <c:v>187.0</c:v>
                </c:pt>
                <c:pt idx="36">
                  <c:v>200.0</c:v>
                </c:pt>
                <c:pt idx="37">
                  <c:v>203.0</c:v>
                </c:pt>
                <c:pt idx="38">
                  <c:v>191.0</c:v>
                </c:pt>
                <c:pt idx="39">
                  <c:v>176.0</c:v>
                </c:pt>
                <c:pt idx="40">
                  <c:v>186.0</c:v>
                </c:pt>
                <c:pt idx="41">
                  <c:v>224.0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Sheet1!$E$2:$E$47</c:f>
              <c:numCache>
                <c:formatCode>General</c:formatCode>
                <c:ptCount val="46"/>
                <c:pt idx="6">
                  <c:v>212.0</c:v>
                </c:pt>
                <c:pt idx="7">
                  <c:v>212.0</c:v>
                </c:pt>
                <c:pt idx="8">
                  <c:v>212.0</c:v>
                </c:pt>
                <c:pt idx="9">
                  <c:v>212.0</c:v>
                </c:pt>
                <c:pt idx="10">
                  <c:v>212.0</c:v>
                </c:pt>
                <c:pt idx="11">
                  <c:v>212.0</c:v>
                </c:pt>
                <c:pt idx="12">
                  <c:v>212.0</c:v>
                </c:pt>
                <c:pt idx="13">
                  <c:v>212.0</c:v>
                </c:pt>
                <c:pt idx="14">
                  <c:v>270.0</c:v>
                </c:pt>
                <c:pt idx="15">
                  <c:v>270.0</c:v>
                </c:pt>
                <c:pt idx="16">
                  <c:v>270.0</c:v>
                </c:pt>
                <c:pt idx="17">
                  <c:v>270.0</c:v>
                </c:pt>
                <c:pt idx="18">
                  <c:v>270.0</c:v>
                </c:pt>
                <c:pt idx="19">
                  <c:v>270.0</c:v>
                </c:pt>
                <c:pt idx="20">
                  <c:v>265.0</c:v>
                </c:pt>
                <c:pt idx="21">
                  <c:v>265.0</c:v>
                </c:pt>
                <c:pt idx="22">
                  <c:v>265.0</c:v>
                </c:pt>
                <c:pt idx="23">
                  <c:v>290.0</c:v>
                </c:pt>
                <c:pt idx="24">
                  <c:v>290.0</c:v>
                </c:pt>
                <c:pt idx="25">
                  <c:v>290.0</c:v>
                </c:pt>
                <c:pt idx="26">
                  <c:v>290.0</c:v>
                </c:pt>
                <c:pt idx="27">
                  <c:v>290.0</c:v>
                </c:pt>
                <c:pt idx="28">
                  <c:v>285.0</c:v>
                </c:pt>
                <c:pt idx="29">
                  <c:v>285.0</c:v>
                </c:pt>
                <c:pt idx="30">
                  <c:v>285.0</c:v>
                </c:pt>
                <c:pt idx="31">
                  <c:v>285.0</c:v>
                </c:pt>
                <c:pt idx="32">
                  <c:v>285.0</c:v>
                </c:pt>
                <c:pt idx="33">
                  <c:v>290.0</c:v>
                </c:pt>
                <c:pt idx="34">
                  <c:v>290.0</c:v>
                </c:pt>
                <c:pt idx="35">
                  <c:v>280.0</c:v>
                </c:pt>
                <c:pt idx="36">
                  <c:v>275.0</c:v>
                </c:pt>
                <c:pt idx="37">
                  <c:v>275.0</c:v>
                </c:pt>
                <c:pt idx="38">
                  <c:v>275.0</c:v>
                </c:pt>
                <c:pt idx="39">
                  <c:v>279.0</c:v>
                </c:pt>
                <c:pt idx="40">
                  <c:v>279.0</c:v>
                </c:pt>
                <c:pt idx="41">
                  <c:v>279.0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Sheet1!$F$2:$F$47</c:f>
              <c:numCache>
                <c:formatCode>General</c:formatCode>
                <c:ptCount val="46"/>
                <c:pt idx="0">
                  <c:v>180.0</c:v>
                </c:pt>
                <c:pt idx="1">
                  <c:v>166.0</c:v>
                </c:pt>
                <c:pt idx="2">
                  <c:v>167.0</c:v>
                </c:pt>
                <c:pt idx="3">
                  <c:v>167.0</c:v>
                </c:pt>
                <c:pt idx="4">
                  <c:v>192.0</c:v>
                </c:pt>
                <c:pt idx="5">
                  <c:v>185.0</c:v>
                </c:pt>
                <c:pt idx="6">
                  <c:v>185.0</c:v>
                </c:pt>
                <c:pt idx="7">
                  <c:v>185.0</c:v>
                </c:pt>
                <c:pt idx="8">
                  <c:v>193.0</c:v>
                </c:pt>
                <c:pt idx="9">
                  <c:v>183.0</c:v>
                </c:pt>
                <c:pt idx="10">
                  <c:v>177.0</c:v>
                </c:pt>
                <c:pt idx="11">
                  <c:v>160.0</c:v>
                </c:pt>
                <c:pt idx="12">
                  <c:v>177.0</c:v>
                </c:pt>
                <c:pt idx="14">
                  <c:v>168.0</c:v>
                </c:pt>
                <c:pt idx="15">
                  <c:v>183.0</c:v>
                </c:pt>
                <c:pt idx="16">
                  <c:v>183.0</c:v>
                </c:pt>
                <c:pt idx="17">
                  <c:v>185.0</c:v>
                </c:pt>
                <c:pt idx="18">
                  <c:v>185.0</c:v>
                </c:pt>
                <c:pt idx="19">
                  <c:v>183.0</c:v>
                </c:pt>
                <c:pt idx="20">
                  <c:v>180.0</c:v>
                </c:pt>
                <c:pt idx="21">
                  <c:v>190.0</c:v>
                </c:pt>
                <c:pt idx="22">
                  <c:v>190.0</c:v>
                </c:pt>
                <c:pt idx="23">
                  <c:v>189.0</c:v>
                </c:pt>
                <c:pt idx="24">
                  <c:v>189.0</c:v>
                </c:pt>
                <c:pt idx="25">
                  <c:v>189.0</c:v>
                </c:pt>
                <c:pt idx="26">
                  <c:v>180.0</c:v>
                </c:pt>
                <c:pt idx="27">
                  <c:v>190.0</c:v>
                </c:pt>
                <c:pt idx="28">
                  <c:v>180.0</c:v>
                </c:pt>
                <c:pt idx="29">
                  <c:v>180.0</c:v>
                </c:pt>
                <c:pt idx="30">
                  <c:v>180.0</c:v>
                </c:pt>
                <c:pt idx="31">
                  <c:v>172.0</c:v>
                </c:pt>
                <c:pt idx="32">
                  <c:v>164.0</c:v>
                </c:pt>
                <c:pt idx="33">
                  <c:v>180.0</c:v>
                </c:pt>
                <c:pt idx="34">
                  <c:v>180.0</c:v>
                </c:pt>
                <c:pt idx="35">
                  <c:v>190.0</c:v>
                </c:pt>
                <c:pt idx="36">
                  <c:v>197.0</c:v>
                </c:pt>
                <c:pt idx="37">
                  <c:v>197.0</c:v>
                </c:pt>
                <c:pt idx="38">
                  <c:v>189.0</c:v>
                </c:pt>
                <c:pt idx="39">
                  <c:v>188.0</c:v>
                </c:pt>
                <c:pt idx="40">
                  <c:v>188.0</c:v>
                </c:pt>
                <c:pt idx="41">
                  <c:v>182.0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Sheet1!$A$2:$A$47</c:f>
              <c:numCache>
                <c:formatCode>General</c:formatCode>
                <c:ptCount val="46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</c:numCache>
            </c:numRef>
          </c:cat>
          <c:val>
            <c:numRef>
              <c:f>Sheet1!$G$2:$G$47</c:f>
              <c:numCache>
                <c:formatCode>General</c:formatCode>
                <c:ptCount val="46"/>
                <c:pt idx="0">
                  <c:v>297.0</c:v>
                </c:pt>
                <c:pt idx="1">
                  <c:v>323.0</c:v>
                </c:pt>
                <c:pt idx="2">
                  <c:v>331.0</c:v>
                </c:pt>
                <c:pt idx="3">
                  <c:v>322.0</c:v>
                </c:pt>
                <c:pt idx="4">
                  <c:v>325.0</c:v>
                </c:pt>
                <c:pt idx="6">
                  <c:v>327.0</c:v>
                </c:pt>
                <c:pt idx="7">
                  <c:v>327.0</c:v>
                </c:pt>
                <c:pt idx="8">
                  <c:v>346.0</c:v>
                </c:pt>
                <c:pt idx="9">
                  <c:v>342.0</c:v>
                </c:pt>
                <c:pt idx="10">
                  <c:v>353.0</c:v>
                </c:pt>
                <c:pt idx="11">
                  <c:v>357.0</c:v>
                </c:pt>
                <c:pt idx="12">
                  <c:v>323.0</c:v>
                </c:pt>
                <c:pt idx="13">
                  <c:v>346.0</c:v>
                </c:pt>
                <c:pt idx="14">
                  <c:v>338.0</c:v>
                </c:pt>
                <c:pt idx="16">
                  <c:v>358.0</c:v>
                </c:pt>
                <c:pt idx="17">
                  <c:v>269.0</c:v>
                </c:pt>
                <c:pt idx="18">
                  <c:v>270.0</c:v>
                </c:pt>
                <c:pt idx="19">
                  <c:v>274.0</c:v>
                </c:pt>
                <c:pt idx="21">
                  <c:v>313.0</c:v>
                </c:pt>
                <c:pt idx="22">
                  <c:v>277.0</c:v>
                </c:pt>
                <c:pt idx="23">
                  <c:v>302.0</c:v>
                </c:pt>
                <c:pt idx="24">
                  <c:v>318.0</c:v>
                </c:pt>
                <c:pt idx="25">
                  <c:v>329.0</c:v>
                </c:pt>
                <c:pt idx="26">
                  <c:v>341.0</c:v>
                </c:pt>
                <c:pt idx="27">
                  <c:v>352.0</c:v>
                </c:pt>
                <c:pt idx="28">
                  <c:v>391.0</c:v>
                </c:pt>
                <c:pt idx="29">
                  <c:v>382.0</c:v>
                </c:pt>
                <c:pt idx="30">
                  <c:v>348.0</c:v>
                </c:pt>
                <c:pt idx="31">
                  <c:v>348.0</c:v>
                </c:pt>
                <c:pt idx="32">
                  <c:v>368.0</c:v>
                </c:pt>
                <c:pt idx="33">
                  <c:v>404.0</c:v>
                </c:pt>
                <c:pt idx="34">
                  <c:v>456.0</c:v>
                </c:pt>
                <c:pt idx="35">
                  <c:v>484.0</c:v>
                </c:pt>
                <c:pt idx="36">
                  <c:v>506.0</c:v>
                </c:pt>
                <c:pt idx="37">
                  <c:v>339.0</c:v>
                </c:pt>
                <c:pt idx="38">
                  <c:v>355.0</c:v>
                </c:pt>
                <c:pt idx="39">
                  <c:v>347.0</c:v>
                </c:pt>
                <c:pt idx="40">
                  <c:v>335.0</c:v>
                </c:pt>
                <c:pt idx="41">
                  <c:v>355.0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84371672"/>
        <c:axId val="-2084366104"/>
      </c:lineChart>
      <c:catAx>
        <c:axId val="-2084371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84366104"/>
        <c:crosses val="autoZero"/>
        <c:auto val="1"/>
        <c:lblAlgn val="ctr"/>
        <c:lblOffset val="100"/>
        <c:noMultiLvlLbl val="0"/>
      </c:catAx>
      <c:valAx>
        <c:axId val="-20843661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843716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351.0</c:v>
                </c:pt>
                <c:pt idx="1">
                  <c:v>150.0</c:v>
                </c:pt>
                <c:pt idx="2">
                  <c:v>224.0</c:v>
                </c:pt>
                <c:pt idx="3">
                  <c:v>279.0</c:v>
                </c:pt>
                <c:pt idx="4">
                  <c:v>182.0</c:v>
                </c:pt>
                <c:pt idx="5">
                  <c:v>355.0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220.0</c:v>
                </c:pt>
                <c:pt idx="1">
                  <c:v>132.0</c:v>
                </c:pt>
                <c:pt idx="2">
                  <c:v>167.0</c:v>
                </c:pt>
                <c:pt idx="3">
                  <c:v>265.0</c:v>
                </c:pt>
                <c:pt idx="4">
                  <c:v>186.0</c:v>
                </c:pt>
                <c:pt idx="5">
                  <c:v>367.0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8187528"/>
        <c:axId val="2085888392"/>
      </c:barChart>
      <c:catAx>
        <c:axId val="-211818752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85888392"/>
        <c:crosses val="autoZero"/>
        <c:auto val="1"/>
        <c:lblAlgn val="ctr"/>
        <c:lblOffset val="100"/>
        <c:noMultiLvlLbl val="0"/>
      </c:catAx>
      <c:valAx>
        <c:axId val="208588839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181875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317.0</c:v>
                </c:pt>
                <c:pt idx="1">
                  <c:v>156.0</c:v>
                </c:pt>
                <c:pt idx="2">
                  <c:v>177.0</c:v>
                </c:pt>
                <c:pt idx="3">
                  <c:v>264.0</c:v>
                </c:pt>
                <c:pt idx="4">
                  <c:v>182.0</c:v>
                </c:pt>
                <c:pt idx="5">
                  <c:v>343.0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215.0</c:v>
                </c:pt>
                <c:pt idx="1">
                  <c:v>139.0</c:v>
                </c:pt>
                <c:pt idx="2">
                  <c:v>176.0</c:v>
                </c:pt>
                <c:pt idx="3">
                  <c:v>248.0</c:v>
                </c:pt>
                <c:pt idx="4">
                  <c:v>174.0</c:v>
                </c:pt>
                <c:pt idx="5">
                  <c:v>333.0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85108888"/>
        <c:axId val="-2085105912"/>
      </c:barChart>
      <c:catAx>
        <c:axId val="-2085108888"/>
        <c:scaling>
          <c:orientation val="minMax"/>
        </c:scaling>
        <c:delete val="0"/>
        <c:axPos val="b"/>
        <c:majorTickMark val="out"/>
        <c:minorTickMark val="none"/>
        <c:tickLblPos val="nextTo"/>
        <c:crossAx val="-2085105912"/>
        <c:crosses val="autoZero"/>
        <c:auto val="1"/>
        <c:lblAlgn val="ctr"/>
        <c:lblOffset val="100"/>
        <c:noMultiLvlLbl val="0"/>
      </c:catAx>
      <c:valAx>
        <c:axId val="-2085105912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851088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2015-10-20T16:49:00Z</dcterms:created>
  <dcterms:modified xsi:type="dcterms:W3CDTF">2015-10-20T16:49:00Z</dcterms:modified>
</cp:coreProperties>
</file>