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8FFEE9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F27BB9">
        <w:rPr>
          <w:sz w:val="38"/>
          <w:szCs w:val="38"/>
          <w:u w:val="single"/>
        </w:rPr>
        <w:t>51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F27BB9">
        <w:rPr>
          <w:sz w:val="38"/>
          <w:szCs w:val="38"/>
          <w:u w:val="single"/>
        </w:rPr>
        <w:t>December 14-18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5C5FF0F" w:rsidR="00AA34A2" w:rsidRDefault="00F27BB9">
      <w:r>
        <w:rPr>
          <w:noProof/>
        </w:rPr>
        <w:drawing>
          <wp:inline distT="0" distB="0" distL="0" distR="0" wp14:anchorId="77D6C0B5" wp14:editId="4316F0E4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3FB0771E" w:rsidR="00B51354" w:rsidRPr="00AA2F1F" w:rsidRDefault="008E221A" w:rsidP="00E01DCE">
      <w:r>
        <w:t xml:space="preserve">  </w:t>
      </w:r>
      <w:r w:rsidR="00B51354">
        <w:t xml:space="preserve">  </w:t>
      </w:r>
      <w:r w:rsidR="00F27BB9">
        <w:rPr>
          <w:noProof/>
        </w:rPr>
        <w:drawing>
          <wp:inline distT="0" distB="0" distL="0" distR="0" wp14:anchorId="79E4DCE6" wp14:editId="1F46D93D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F27BB9">
        <w:rPr>
          <w:noProof/>
        </w:rPr>
        <w:drawing>
          <wp:inline distT="0" distB="0" distL="0" distR="0" wp14:anchorId="6FD68845" wp14:editId="2125DA7F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3EF5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8750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5F5DE7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8646C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04E05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37CD7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34DBF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27BB9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5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  <c:pt idx="43">
                  <c:v>330.0</c:v>
                </c:pt>
                <c:pt idx="44">
                  <c:v>327.0</c:v>
                </c:pt>
                <c:pt idx="45">
                  <c:v>323.0</c:v>
                </c:pt>
                <c:pt idx="46">
                  <c:v>333.0</c:v>
                </c:pt>
                <c:pt idx="47">
                  <c:v>326.0</c:v>
                </c:pt>
                <c:pt idx="48">
                  <c:v>320.0</c:v>
                </c:pt>
                <c:pt idx="49">
                  <c:v>316.0</c:v>
                </c:pt>
                <c:pt idx="50">
                  <c:v>315.0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  <c:pt idx="43">
                  <c:v>150.0</c:v>
                </c:pt>
                <c:pt idx="44">
                  <c:v>150.0</c:v>
                </c:pt>
                <c:pt idx="45">
                  <c:v>190.0</c:v>
                </c:pt>
                <c:pt idx="46">
                  <c:v>190.0</c:v>
                </c:pt>
                <c:pt idx="47">
                  <c:v>190.0</c:v>
                </c:pt>
                <c:pt idx="48">
                  <c:v>190.0</c:v>
                </c:pt>
                <c:pt idx="49">
                  <c:v>190.0</c:v>
                </c:pt>
                <c:pt idx="50">
                  <c:v>190.0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  <c:pt idx="43">
                  <c:v>204.0</c:v>
                </c:pt>
                <c:pt idx="44">
                  <c:v>186.0</c:v>
                </c:pt>
                <c:pt idx="45">
                  <c:v>185.0</c:v>
                </c:pt>
                <c:pt idx="46">
                  <c:v>204.0</c:v>
                </c:pt>
                <c:pt idx="47">
                  <c:v>205.0</c:v>
                </c:pt>
                <c:pt idx="48">
                  <c:v>188.0</c:v>
                </c:pt>
                <c:pt idx="49">
                  <c:v>175.0</c:v>
                </c:pt>
                <c:pt idx="50">
                  <c:v>196.0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  <c:pt idx="43">
                  <c:v>279.0</c:v>
                </c:pt>
                <c:pt idx="44">
                  <c:v>279.0</c:v>
                </c:pt>
                <c:pt idx="45">
                  <c:v>278.0</c:v>
                </c:pt>
                <c:pt idx="46">
                  <c:v>278.0</c:v>
                </c:pt>
                <c:pt idx="47">
                  <c:v>278.0</c:v>
                </c:pt>
                <c:pt idx="48">
                  <c:v>278.0</c:v>
                </c:pt>
                <c:pt idx="49">
                  <c:v>278.0</c:v>
                </c:pt>
                <c:pt idx="50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  <c:pt idx="43">
                  <c:v>179.0</c:v>
                </c:pt>
                <c:pt idx="44">
                  <c:v>180.0</c:v>
                </c:pt>
                <c:pt idx="45">
                  <c:v>188.0</c:v>
                </c:pt>
                <c:pt idx="46">
                  <c:v>192.0</c:v>
                </c:pt>
                <c:pt idx="47">
                  <c:v>192.0</c:v>
                </c:pt>
                <c:pt idx="48">
                  <c:v>207.0</c:v>
                </c:pt>
                <c:pt idx="49">
                  <c:v>198.0</c:v>
                </c:pt>
                <c:pt idx="50">
                  <c:v>197.0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  <c:pt idx="43">
                  <c:v>343.0</c:v>
                </c:pt>
                <c:pt idx="44">
                  <c:v>330.0</c:v>
                </c:pt>
                <c:pt idx="45">
                  <c:v>330.0</c:v>
                </c:pt>
                <c:pt idx="46">
                  <c:v>323.0</c:v>
                </c:pt>
                <c:pt idx="47">
                  <c:v>314.0</c:v>
                </c:pt>
                <c:pt idx="48">
                  <c:v>344.0</c:v>
                </c:pt>
                <c:pt idx="49">
                  <c:v>340.0</c:v>
                </c:pt>
                <c:pt idx="50">
                  <c:v>339.0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7371992"/>
        <c:axId val="-2097366424"/>
      </c:lineChart>
      <c:catAx>
        <c:axId val="-2097371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7366424"/>
        <c:crosses val="autoZero"/>
        <c:auto val="1"/>
        <c:lblAlgn val="ctr"/>
        <c:lblOffset val="100"/>
        <c:tickLblSkip val="3"/>
        <c:tickMarkSkip val="5"/>
        <c:noMultiLvlLbl val="0"/>
      </c:catAx>
      <c:valAx>
        <c:axId val="-20973664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7371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315.0</c:v>
                </c:pt>
                <c:pt idx="1">
                  <c:v>190.0</c:v>
                </c:pt>
                <c:pt idx="2">
                  <c:v>196.0</c:v>
                </c:pt>
                <c:pt idx="3">
                  <c:v>278.0</c:v>
                </c:pt>
                <c:pt idx="4">
                  <c:v>197.0</c:v>
                </c:pt>
                <c:pt idx="5">
                  <c:v>339.0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220.0</c:v>
                </c:pt>
                <c:pt idx="2">
                  <c:v>165.0</c:v>
                </c:pt>
                <c:pt idx="3">
                  <c:v>265.0</c:v>
                </c:pt>
                <c:pt idx="4">
                  <c:v>175.0</c:v>
                </c:pt>
                <c:pt idx="5">
                  <c:v>324.0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0025352"/>
        <c:axId val="-2119318408"/>
      </c:barChart>
      <c:catAx>
        <c:axId val="-2120025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9318408"/>
        <c:crosses val="autoZero"/>
        <c:auto val="1"/>
        <c:lblAlgn val="ctr"/>
        <c:lblOffset val="100"/>
        <c:noMultiLvlLbl val="0"/>
      </c:catAx>
      <c:valAx>
        <c:axId val="-211931840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0025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319.0</c:v>
                </c:pt>
                <c:pt idx="1">
                  <c:v>160.0</c:v>
                </c:pt>
                <c:pt idx="2">
                  <c:v>179.0</c:v>
                </c:pt>
                <c:pt idx="3">
                  <c:v>267.0</c:v>
                </c:pt>
                <c:pt idx="4">
                  <c:v>183.0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174.0</c:v>
                </c:pt>
                <c:pt idx="3">
                  <c:v>253.0</c:v>
                </c:pt>
                <c:pt idx="4">
                  <c:v>175.0</c:v>
                </c:pt>
                <c:pt idx="5">
                  <c:v>329.0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0523320"/>
        <c:axId val="-2118916776"/>
      </c:barChart>
      <c:catAx>
        <c:axId val="-210052332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8916776"/>
        <c:crosses val="autoZero"/>
        <c:auto val="1"/>
        <c:lblAlgn val="ctr"/>
        <c:lblOffset val="100"/>
        <c:noMultiLvlLbl val="0"/>
      </c:catAx>
      <c:valAx>
        <c:axId val="-211891677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0523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2016-01-13T18:45:00Z</dcterms:created>
  <dcterms:modified xsi:type="dcterms:W3CDTF">2016-01-13T18:45:00Z</dcterms:modified>
</cp:coreProperties>
</file>