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xlsx" ContentType="application/vnd.openxmlformats-officedocument.spreadsheetml.sheet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1A4022" w14:textId="3DBC5E6C" w:rsidR="004C0084" w:rsidRPr="004C0084" w:rsidRDefault="00A7202E" w:rsidP="004C0084">
      <w:pPr>
        <w:jc w:val="center"/>
        <w:rPr>
          <w:sz w:val="4"/>
          <w:szCs w:val="4"/>
          <w:u w:val="single"/>
        </w:rPr>
      </w:pPr>
      <w:r>
        <w:rPr>
          <w:sz w:val="38"/>
          <w:szCs w:val="38"/>
          <w:u w:val="single"/>
        </w:rPr>
        <w:t xml:space="preserve">Market Report Week </w:t>
      </w:r>
      <w:r w:rsidR="00DA7A00">
        <w:rPr>
          <w:sz w:val="38"/>
          <w:szCs w:val="38"/>
          <w:u w:val="single"/>
        </w:rPr>
        <w:t>8</w:t>
      </w:r>
      <w:r w:rsidR="00C550B9">
        <w:rPr>
          <w:sz w:val="38"/>
          <w:szCs w:val="38"/>
          <w:u w:val="single"/>
        </w:rPr>
        <w:t>:</w:t>
      </w:r>
      <w:r w:rsidR="00DF7D64">
        <w:rPr>
          <w:sz w:val="38"/>
          <w:szCs w:val="38"/>
          <w:u w:val="single"/>
        </w:rPr>
        <w:t xml:space="preserve"> </w:t>
      </w:r>
      <w:r w:rsidR="00DA7A00">
        <w:rPr>
          <w:sz w:val="38"/>
          <w:szCs w:val="38"/>
          <w:u w:val="single"/>
        </w:rPr>
        <w:t>February 15-19</w:t>
      </w:r>
      <w:r w:rsidR="003E66AA">
        <w:rPr>
          <w:sz w:val="38"/>
          <w:szCs w:val="38"/>
          <w:u w:val="single"/>
        </w:rPr>
        <w:t>,</w:t>
      </w:r>
      <w:r w:rsidR="00310D36">
        <w:rPr>
          <w:sz w:val="38"/>
          <w:szCs w:val="38"/>
          <w:u w:val="single"/>
        </w:rPr>
        <w:t xml:space="preserve"> 201</w:t>
      </w:r>
      <w:r w:rsidR="001A12C8">
        <w:rPr>
          <w:sz w:val="38"/>
          <w:szCs w:val="38"/>
          <w:u w:val="single"/>
        </w:rPr>
        <w:t>6</w:t>
      </w:r>
    </w:p>
    <w:p w14:paraId="73BC8722" w14:textId="52C58248" w:rsidR="00AA34A2" w:rsidRDefault="00DA7A00">
      <w:r>
        <w:rPr>
          <w:noProof/>
        </w:rPr>
        <w:drawing>
          <wp:inline distT="0" distB="0" distL="0" distR="0" wp14:anchorId="7E23EA0F" wp14:editId="72A5149C">
            <wp:extent cx="9486900" cy="3606800"/>
            <wp:effectExtent l="0" t="0" r="12700" b="2540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229929B3" w14:textId="77777777" w:rsidR="00B51354" w:rsidRDefault="00B51354"/>
    <w:p w14:paraId="5DDA9ABE" w14:textId="1DD59BC1" w:rsidR="00B51354" w:rsidRPr="00AA2F1F" w:rsidRDefault="00B51354" w:rsidP="00E01DCE">
      <w:r>
        <w:t xml:space="preserve">  </w:t>
      </w:r>
      <w:r w:rsidR="00DA7A00">
        <w:rPr>
          <w:noProof/>
        </w:rPr>
        <w:drawing>
          <wp:inline distT="0" distB="0" distL="0" distR="0" wp14:anchorId="0D4F11A5" wp14:editId="63FC8713">
            <wp:extent cx="4508500" cy="3073400"/>
            <wp:effectExtent l="0" t="0" r="12700" b="2540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r>
        <w:t xml:space="preserve">          </w:t>
      </w:r>
      <w:bookmarkStart w:id="0" w:name="_GoBack"/>
      <w:r w:rsidR="00DA7A00">
        <w:rPr>
          <w:noProof/>
        </w:rPr>
        <w:drawing>
          <wp:inline distT="0" distB="0" distL="0" distR="0" wp14:anchorId="26C4FA2B" wp14:editId="0CF70A9C">
            <wp:extent cx="4572000" cy="2976880"/>
            <wp:effectExtent l="0" t="0" r="25400" b="2032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bookmarkEnd w:id="0"/>
    </w:p>
    <w:sectPr w:rsidR="00B51354" w:rsidRPr="00AA2F1F" w:rsidSect="00B51354">
      <w:pgSz w:w="15840" w:h="12240" w:orient="landscape"/>
      <w:pgMar w:top="360" w:right="360" w:bottom="36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1354"/>
    <w:rsid w:val="00037692"/>
    <w:rsid w:val="00053C74"/>
    <w:rsid w:val="000A0370"/>
    <w:rsid w:val="000E16F9"/>
    <w:rsid w:val="000F4269"/>
    <w:rsid w:val="000F7E82"/>
    <w:rsid w:val="00104A9E"/>
    <w:rsid w:val="001472F2"/>
    <w:rsid w:val="001549A0"/>
    <w:rsid w:val="0015685A"/>
    <w:rsid w:val="00165633"/>
    <w:rsid w:val="00180BA0"/>
    <w:rsid w:val="001A12C8"/>
    <w:rsid w:val="001C397C"/>
    <w:rsid w:val="001D0F9B"/>
    <w:rsid w:val="001E2DB0"/>
    <w:rsid w:val="00224736"/>
    <w:rsid w:val="002250A4"/>
    <w:rsid w:val="00241756"/>
    <w:rsid w:val="00254C06"/>
    <w:rsid w:val="00276A12"/>
    <w:rsid w:val="002932DC"/>
    <w:rsid w:val="002A16D1"/>
    <w:rsid w:val="002A64CF"/>
    <w:rsid w:val="002B1C5E"/>
    <w:rsid w:val="002C0A7E"/>
    <w:rsid w:val="002E07A4"/>
    <w:rsid w:val="002E3BD6"/>
    <w:rsid w:val="002F55C0"/>
    <w:rsid w:val="00310D36"/>
    <w:rsid w:val="003164A8"/>
    <w:rsid w:val="0033235B"/>
    <w:rsid w:val="003372C7"/>
    <w:rsid w:val="00337F96"/>
    <w:rsid w:val="003A4ABE"/>
    <w:rsid w:val="003A7945"/>
    <w:rsid w:val="003B5A10"/>
    <w:rsid w:val="003E66AA"/>
    <w:rsid w:val="00405A7C"/>
    <w:rsid w:val="004100BF"/>
    <w:rsid w:val="0043231D"/>
    <w:rsid w:val="004323E4"/>
    <w:rsid w:val="00454335"/>
    <w:rsid w:val="0049396F"/>
    <w:rsid w:val="004C0082"/>
    <w:rsid w:val="004C0084"/>
    <w:rsid w:val="004C5896"/>
    <w:rsid w:val="00505163"/>
    <w:rsid w:val="005238D1"/>
    <w:rsid w:val="005814A8"/>
    <w:rsid w:val="00590B53"/>
    <w:rsid w:val="005C7922"/>
    <w:rsid w:val="006124F3"/>
    <w:rsid w:val="0061734A"/>
    <w:rsid w:val="00651CF7"/>
    <w:rsid w:val="00662A00"/>
    <w:rsid w:val="006879D4"/>
    <w:rsid w:val="006906ED"/>
    <w:rsid w:val="006B4380"/>
    <w:rsid w:val="006D0DDF"/>
    <w:rsid w:val="006E54AD"/>
    <w:rsid w:val="007142CD"/>
    <w:rsid w:val="007222AA"/>
    <w:rsid w:val="00741945"/>
    <w:rsid w:val="00756BAA"/>
    <w:rsid w:val="00771290"/>
    <w:rsid w:val="007819C6"/>
    <w:rsid w:val="0078582C"/>
    <w:rsid w:val="00790CFE"/>
    <w:rsid w:val="007923FB"/>
    <w:rsid w:val="00804BCF"/>
    <w:rsid w:val="00816C6E"/>
    <w:rsid w:val="0083184E"/>
    <w:rsid w:val="00897B0A"/>
    <w:rsid w:val="00915A81"/>
    <w:rsid w:val="00915C37"/>
    <w:rsid w:val="009244FC"/>
    <w:rsid w:val="00957379"/>
    <w:rsid w:val="0096653A"/>
    <w:rsid w:val="009A4BBB"/>
    <w:rsid w:val="009A7506"/>
    <w:rsid w:val="009D1B08"/>
    <w:rsid w:val="009D4F56"/>
    <w:rsid w:val="009F50EA"/>
    <w:rsid w:val="009F632B"/>
    <w:rsid w:val="00A23987"/>
    <w:rsid w:val="00A50E02"/>
    <w:rsid w:val="00A54358"/>
    <w:rsid w:val="00A57289"/>
    <w:rsid w:val="00A7202E"/>
    <w:rsid w:val="00AA08E3"/>
    <w:rsid w:val="00AA2F1F"/>
    <w:rsid w:val="00AA34A2"/>
    <w:rsid w:val="00AB51E8"/>
    <w:rsid w:val="00AD7506"/>
    <w:rsid w:val="00B03BB0"/>
    <w:rsid w:val="00B51354"/>
    <w:rsid w:val="00B5573C"/>
    <w:rsid w:val="00B91D21"/>
    <w:rsid w:val="00BC1D29"/>
    <w:rsid w:val="00BF3BA9"/>
    <w:rsid w:val="00BF695E"/>
    <w:rsid w:val="00C17A62"/>
    <w:rsid w:val="00C25E18"/>
    <w:rsid w:val="00C3231E"/>
    <w:rsid w:val="00C3696A"/>
    <w:rsid w:val="00C550B9"/>
    <w:rsid w:val="00C85FF1"/>
    <w:rsid w:val="00CB743D"/>
    <w:rsid w:val="00CF7575"/>
    <w:rsid w:val="00D200D7"/>
    <w:rsid w:val="00D5213B"/>
    <w:rsid w:val="00D66DA3"/>
    <w:rsid w:val="00D71682"/>
    <w:rsid w:val="00D97AF0"/>
    <w:rsid w:val="00DA7A00"/>
    <w:rsid w:val="00DD7632"/>
    <w:rsid w:val="00DF0383"/>
    <w:rsid w:val="00DF7D64"/>
    <w:rsid w:val="00E01DCE"/>
    <w:rsid w:val="00E52413"/>
    <w:rsid w:val="00E62DC3"/>
    <w:rsid w:val="00E85525"/>
    <w:rsid w:val="00EA04ED"/>
    <w:rsid w:val="00EB1BE4"/>
    <w:rsid w:val="00EB6DBC"/>
    <w:rsid w:val="00EC1D73"/>
    <w:rsid w:val="00F04F1C"/>
    <w:rsid w:val="00F068B9"/>
    <w:rsid w:val="00F20048"/>
    <w:rsid w:val="00F2071A"/>
    <w:rsid w:val="00F2736D"/>
    <w:rsid w:val="00F30216"/>
    <w:rsid w:val="00F364C9"/>
    <w:rsid w:val="00F7170A"/>
    <w:rsid w:val="00FA3750"/>
    <w:rsid w:val="00FD354B"/>
    <w:rsid w:val="00FE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44F3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354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354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chart" Target="charts/chart1.xml"/><Relationship Id="rId6" Type="http://schemas.openxmlformats.org/officeDocument/2006/relationships/chart" Target="charts/chart2.xml"/><Relationship Id="rId7" Type="http://schemas.openxmlformats.org/officeDocument/2006/relationships/chart" Target="charts/chart3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company:Administrative:Marketing%20Program:Market%20Info:2016%20Market%20Reports:2016%20Auction%20Prices%20wk%208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2016 Global Tea Auction Prices By Week</a:t>
            </a:r>
          </a:p>
        </c:rich>
      </c:tx>
      <c:layout/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Kenya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Sheet1!$B$2:$B$31</c:f>
              <c:numCache>
                <c:formatCode>General</c:formatCode>
                <c:ptCount val="30"/>
                <c:pt idx="1">
                  <c:v>295.0</c:v>
                </c:pt>
                <c:pt idx="2">
                  <c:v>263.0</c:v>
                </c:pt>
                <c:pt idx="3">
                  <c:v>271.0</c:v>
                </c:pt>
                <c:pt idx="4">
                  <c:v>260.0</c:v>
                </c:pt>
                <c:pt idx="5">
                  <c:v>253.0</c:v>
                </c:pt>
                <c:pt idx="6">
                  <c:v>251.0</c:v>
                </c:pt>
                <c:pt idx="7">
                  <c:v>253.0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Malawi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Sheet1!$C$2:$C$31</c:f>
              <c:numCache>
                <c:formatCode>General</c:formatCode>
                <c:ptCount val="30"/>
                <c:pt idx="1">
                  <c:v>200.0</c:v>
                </c:pt>
                <c:pt idx="2">
                  <c:v>200.0</c:v>
                </c:pt>
                <c:pt idx="3">
                  <c:v>200.0</c:v>
                </c:pt>
                <c:pt idx="4">
                  <c:v>200.0</c:v>
                </c:pt>
                <c:pt idx="5">
                  <c:v>200.0</c:v>
                </c:pt>
                <c:pt idx="6">
                  <c:v>200.0</c:v>
                </c:pt>
                <c:pt idx="7">
                  <c:v>200.0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Indonesia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Sheet1!$D$2:$D$31</c:f>
              <c:numCache>
                <c:formatCode>General</c:formatCode>
                <c:ptCount val="30"/>
                <c:pt idx="1">
                  <c:v>191.0</c:v>
                </c:pt>
                <c:pt idx="2">
                  <c:v>189.0</c:v>
                </c:pt>
                <c:pt idx="3">
                  <c:v>190.0</c:v>
                </c:pt>
                <c:pt idx="4">
                  <c:v>190.0</c:v>
                </c:pt>
                <c:pt idx="5">
                  <c:v>189.0</c:v>
                </c:pt>
                <c:pt idx="6">
                  <c:v>184.0</c:v>
                </c:pt>
                <c:pt idx="7">
                  <c:v>176.0</c:v>
                </c:pt>
              </c:numCache>
            </c:numRef>
          </c:val>
          <c:smooth val="0"/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Sheet1!$E$2:$E$31</c:f>
              <c:numCache>
                <c:formatCode>General</c:formatCode>
                <c:ptCount val="30"/>
                <c:pt idx="1">
                  <c:v>278.0</c:v>
                </c:pt>
                <c:pt idx="2">
                  <c:v>278.0</c:v>
                </c:pt>
                <c:pt idx="3">
                  <c:v>278.0</c:v>
                </c:pt>
                <c:pt idx="4">
                  <c:v>277.0</c:v>
                </c:pt>
                <c:pt idx="5">
                  <c:v>277.0</c:v>
                </c:pt>
                <c:pt idx="6">
                  <c:v>277.0</c:v>
                </c:pt>
                <c:pt idx="7">
                  <c:v>277.0</c:v>
                </c:pt>
              </c:numCache>
            </c:numRef>
          </c:val>
          <c:smooth val="0"/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S. India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Sheet1!$F$2:$F$31</c:f>
              <c:numCache>
                <c:formatCode>General</c:formatCode>
                <c:ptCount val="30"/>
                <c:pt idx="1">
                  <c:v>202.0</c:v>
                </c:pt>
                <c:pt idx="2">
                  <c:v>221.0</c:v>
                </c:pt>
                <c:pt idx="3">
                  <c:v>221.0</c:v>
                </c:pt>
                <c:pt idx="4">
                  <c:v>221.0</c:v>
                </c:pt>
                <c:pt idx="5">
                  <c:v>206.0</c:v>
                </c:pt>
                <c:pt idx="6">
                  <c:v>206.0</c:v>
                </c:pt>
                <c:pt idx="7">
                  <c:v>181.0</c:v>
                </c:pt>
              </c:numCache>
            </c:numRef>
          </c:val>
          <c:smooth val="0"/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Sri Lanka</c:v>
                </c:pt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Sheet1!$G$2:$G$31</c:f>
              <c:numCache>
                <c:formatCode>General</c:formatCode>
                <c:ptCount val="30"/>
                <c:pt idx="1">
                  <c:v>341.0</c:v>
                </c:pt>
                <c:pt idx="2">
                  <c:v>328.0</c:v>
                </c:pt>
                <c:pt idx="3">
                  <c:v>342.0</c:v>
                </c:pt>
                <c:pt idx="4">
                  <c:v>331.0</c:v>
                </c:pt>
                <c:pt idx="5">
                  <c:v>326.0</c:v>
                </c:pt>
                <c:pt idx="6">
                  <c:v>313.0</c:v>
                </c:pt>
                <c:pt idx="7">
                  <c:v>320.0</c:v>
                </c:pt>
              </c:numCache>
            </c:numRef>
          </c:val>
          <c:smooth val="0"/>
        </c:ser>
        <c:ser>
          <c:idx val="6"/>
          <c:order val="6"/>
          <c:tx>
            <c:strRef>
              <c:f>Sheet1!$H$1</c:f>
              <c:strCache>
                <c:ptCount val="1"/>
              </c:strCache>
            </c:strRef>
          </c:tx>
          <c:cat>
            <c:numRef>
              <c:f>Sheet1!$A$2:$A$31</c:f>
              <c:numCache>
                <c:formatCode>General</c:formatCode>
                <c:ptCount val="30"/>
                <c:pt idx="0">
                  <c:v>1.0</c:v>
                </c:pt>
                <c:pt idx="1">
                  <c:v>2.0</c:v>
                </c:pt>
                <c:pt idx="2">
                  <c:v>3.0</c:v>
                </c:pt>
                <c:pt idx="3">
                  <c:v>4.0</c:v>
                </c:pt>
                <c:pt idx="4">
                  <c:v>5.0</c:v>
                </c:pt>
                <c:pt idx="5">
                  <c:v>6.0</c:v>
                </c:pt>
                <c:pt idx="6">
                  <c:v>7.0</c:v>
                </c:pt>
                <c:pt idx="7">
                  <c:v>8.0</c:v>
                </c:pt>
                <c:pt idx="8">
                  <c:v>9.0</c:v>
                </c:pt>
                <c:pt idx="9">
                  <c:v>10.0</c:v>
                </c:pt>
                <c:pt idx="10">
                  <c:v>11.0</c:v>
                </c:pt>
                <c:pt idx="11">
                  <c:v>12.0</c:v>
                </c:pt>
                <c:pt idx="12">
                  <c:v>13.0</c:v>
                </c:pt>
                <c:pt idx="13">
                  <c:v>14.0</c:v>
                </c:pt>
                <c:pt idx="14">
                  <c:v>15.0</c:v>
                </c:pt>
                <c:pt idx="15">
                  <c:v>16.0</c:v>
                </c:pt>
                <c:pt idx="16">
                  <c:v>17.0</c:v>
                </c:pt>
                <c:pt idx="17">
                  <c:v>18.0</c:v>
                </c:pt>
                <c:pt idx="18">
                  <c:v>19.0</c:v>
                </c:pt>
                <c:pt idx="19">
                  <c:v>20.0</c:v>
                </c:pt>
                <c:pt idx="20">
                  <c:v>21.0</c:v>
                </c:pt>
                <c:pt idx="21">
                  <c:v>22.0</c:v>
                </c:pt>
                <c:pt idx="22">
                  <c:v>23.0</c:v>
                </c:pt>
                <c:pt idx="23">
                  <c:v>24.0</c:v>
                </c:pt>
                <c:pt idx="24">
                  <c:v>25.0</c:v>
                </c:pt>
                <c:pt idx="25">
                  <c:v>26.0</c:v>
                </c:pt>
                <c:pt idx="26">
                  <c:v>27.0</c:v>
                </c:pt>
                <c:pt idx="27">
                  <c:v>28.0</c:v>
                </c:pt>
                <c:pt idx="28">
                  <c:v>29.0</c:v>
                </c:pt>
                <c:pt idx="29">
                  <c:v>30.0</c:v>
                </c:pt>
              </c:numCache>
            </c:numRef>
          </c:cat>
          <c:val>
            <c:numRef>
              <c:f>Sheet1!$H$2:$H$31</c:f>
              <c:numCache>
                <c:formatCode>General</c:formatCode>
                <c:ptCount val="30"/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-2099031096"/>
        <c:axId val="-2126849080"/>
      </c:lineChart>
      <c:catAx>
        <c:axId val="-209903109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Week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126849080"/>
        <c:crosses val="autoZero"/>
        <c:auto val="1"/>
        <c:lblAlgn val="ctr"/>
        <c:lblOffset val="100"/>
        <c:noMultiLvlLbl val="0"/>
      </c:catAx>
      <c:valAx>
        <c:axId val="-2126849080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en-US"/>
                  <a:t>Price of Tea in US Cents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-20990310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500"/>
            </a:pPr>
            <a:r>
              <a:rPr lang="en-US" sz="1500" b="1">
                <a:effectLst/>
              </a:rPr>
              <a:t>Weekly Auction Prices (USC/Kilo</a:t>
            </a:r>
            <a:r>
              <a:rPr lang="en-US" sz="1500" b="1" baseline="0">
                <a:effectLst/>
              </a:rPr>
              <a:t> FOB</a:t>
            </a:r>
            <a:r>
              <a:rPr lang="en-US" sz="1500" b="1">
                <a:effectLst/>
              </a:rPr>
              <a:t>)</a:t>
            </a:r>
            <a:endParaRPr lang="en-US" sz="1500">
              <a:effectLst/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05146345343196"/>
          <c:y val="0.17603305785124"/>
          <c:w val="0.761781993159946"/>
          <c:h val="0.70688748617166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chemeClr val="accent6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253.0</c:v>
                </c:pt>
                <c:pt idx="1">
                  <c:v>200.0</c:v>
                </c:pt>
                <c:pt idx="2">
                  <c:v>176.0</c:v>
                </c:pt>
                <c:pt idx="3">
                  <c:v>277.0</c:v>
                </c:pt>
                <c:pt idx="4">
                  <c:v>181.0</c:v>
                </c:pt>
                <c:pt idx="5">
                  <c:v>320.0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275.0</c:v>
                </c:pt>
                <c:pt idx="1">
                  <c:v>120.0</c:v>
                </c:pt>
                <c:pt idx="2">
                  <c:v>190.0</c:v>
                </c:pt>
                <c:pt idx="3">
                  <c:v>212.0</c:v>
                </c:pt>
                <c:pt idx="4">
                  <c:v>185.0</c:v>
                </c:pt>
                <c:pt idx="5">
                  <c:v>327.0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70975832"/>
        <c:axId val="-2071585016"/>
      </c:barChart>
      <c:catAx>
        <c:axId val="-2070975832"/>
        <c:scaling>
          <c:orientation val="minMax"/>
        </c:scaling>
        <c:delete val="0"/>
        <c:axPos val="b"/>
        <c:majorTickMark val="none"/>
        <c:minorTickMark val="none"/>
        <c:tickLblPos val="nextTo"/>
        <c:crossAx val="-2071585016"/>
        <c:crosses val="autoZero"/>
        <c:auto val="1"/>
        <c:lblAlgn val="ctr"/>
        <c:lblOffset val="100"/>
        <c:noMultiLvlLbl val="0"/>
      </c:catAx>
      <c:valAx>
        <c:axId val="-207158501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-2070975832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1400"/>
            </a:pPr>
            <a:r>
              <a:rPr lang="en-US" sz="1400"/>
              <a:t>AVG Prices</a:t>
            </a:r>
            <a:r>
              <a:rPr lang="en-US" sz="1400" baseline="0"/>
              <a:t> Year to Date (USC/Kilo FOB)</a:t>
            </a:r>
            <a:endParaRPr lang="en-US" sz="1400"/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0739998779222365"/>
          <c:y val="0.186734693877551"/>
          <c:w val="0.756242039512503"/>
          <c:h val="0.63809577374256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2016</c:v>
                </c:pt>
              </c:strCache>
            </c:strRef>
          </c:tx>
          <c:spPr>
            <a:solidFill>
              <a:srgbClr val="FFBF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264.0</c:v>
                </c:pt>
                <c:pt idx="1">
                  <c:v>200.0</c:v>
                </c:pt>
                <c:pt idx="2">
                  <c:v>187.0</c:v>
                </c:pt>
                <c:pt idx="3">
                  <c:v>277.0</c:v>
                </c:pt>
                <c:pt idx="4">
                  <c:v>208.0</c:v>
                </c:pt>
                <c:pt idx="5">
                  <c:v>329.0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2015</c:v>
                </c:pt>
              </c:strCache>
            </c:strRef>
          </c:tx>
          <c:spPr>
            <a:solidFill>
              <a:srgbClr val="58B400"/>
            </a:solidFill>
          </c:spPr>
          <c:invertIfNegative val="0"/>
          <c:cat>
            <c:strRef>
              <c:f>Sheet1!$A$2:$A$7</c:f>
              <c:strCache>
                <c:ptCount val="6"/>
                <c:pt idx="0">
                  <c:v>Kenya</c:v>
                </c:pt>
                <c:pt idx="1">
                  <c:v>Malawi</c:v>
                </c:pt>
                <c:pt idx="2">
                  <c:v>Indonesia</c:v>
                </c:pt>
                <c:pt idx="3">
                  <c:v>N. India</c:v>
                </c:pt>
                <c:pt idx="4">
                  <c:v>S. India</c:v>
                </c:pt>
                <c:pt idx="5">
                  <c:v>Sri Lanka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261.0</c:v>
                </c:pt>
                <c:pt idx="1">
                  <c:v>125.0</c:v>
                </c:pt>
                <c:pt idx="2">
                  <c:v>187.0</c:v>
                </c:pt>
                <c:pt idx="3">
                  <c:v>212.0</c:v>
                </c:pt>
                <c:pt idx="4">
                  <c:v>178.0</c:v>
                </c:pt>
                <c:pt idx="5">
                  <c:v>309.0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-2099133176"/>
        <c:axId val="2122226536"/>
      </c:barChart>
      <c:catAx>
        <c:axId val="-2099133176"/>
        <c:scaling>
          <c:orientation val="minMax"/>
        </c:scaling>
        <c:delete val="0"/>
        <c:axPos val="b"/>
        <c:majorTickMark val="out"/>
        <c:minorTickMark val="none"/>
        <c:tickLblPos val="nextTo"/>
        <c:crossAx val="2122226536"/>
        <c:crosses val="autoZero"/>
        <c:auto val="1"/>
        <c:lblAlgn val="ctr"/>
        <c:lblOffset val="100"/>
        <c:noMultiLvlLbl val="0"/>
      </c:catAx>
      <c:valAx>
        <c:axId val="2122226536"/>
        <c:scaling>
          <c:orientation val="minMax"/>
          <c:min val="120.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-209913317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52</Characters>
  <Application>Microsoft Macintosh Word</Application>
  <DocSecurity>0</DocSecurity>
  <Lines>1</Lines>
  <Paragraphs>1</Paragraphs>
  <ScaleCrop>false</ScaleCrop>
  <Company>Henry P. Thomson Inc.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Henry Thomson</dc:creator>
  <cp:keywords/>
  <dc:description/>
  <cp:lastModifiedBy>Henry Thomson</cp:lastModifiedBy>
  <cp:revision>2</cp:revision>
  <dcterms:created xsi:type="dcterms:W3CDTF">2016-02-23T21:09:00Z</dcterms:created>
  <dcterms:modified xsi:type="dcterms:W3CDTF">2016-02-23T21:09:00Z</dcterms:modified>
</cp:coreProperties>
</file>