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1F070F2A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B2166E">
        <w:rPr>
          <w:sz w:val="38"/>
          <w:szCs w:val="38"/>
          <w:u w:val="single"/>
        </w:rPr>
        <w:t>32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B2166E">
        <w:rPr>
          <w:sz w:val="38"/>
          <w:szCs w:val="38"/>
          <w:u w:val="single"/>
        </w:rPr>
        <w:t>August</w:t>
      </w:r>
      <w:r w:rsidR="006024BE">
        <w:rPr>
          <w:sz w:val="38"/>
          <w:szCs w:val="38"/>
          <w:u w:val="single"/>
        </w:rPr>
        <w:t xml:space="preserve"> </w:t>
      </w:r>
      <w:r w:rsidR="00B2166E">
        <w:rPr>
          <w:sz w:val="38"/>
          <w:szCs w:val="38"/>
          <w:u w:val="single"/>
        </w:rPr>
        <w:t>1-5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479A8071" w:rsidR="00AA34A2" w:rsidRDefault="00E8448A">
      <w:r>
        <w:rPr>
          <w:noProof/>
        </w:rPr>
        <w:drawing>
          <wp:inline distT="0" distB="0" distL="0" distR="0" wp14:anchorId="0D3E3809" wp14:editId="553EA120">
            <wp:extent cx="9601200" cy="3723640"/>
            <wp:effectExtent l="0" t="0" r="0" b="1016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929B3" w14:textId="77777777" w:rsidR="00B51354" w:rsidRDefault="00B51354"/>
    <w:p w14:paraId="5DDA9ABE" w14:textId="6200C6D9" w:rsidR="00B51354" w:rsidRPr="00AA2F1F" w:rsidRDefault="00B51354" w:rsidP="00E01DCE">
      <w:r>
        <w:t xml:space="preserve">   </w:t>
      </w:r>
      <w:r w:rsidR="00E8448A">
        <w:rPr>
          <w:noProof/>
        </w:rPr>
        <w:drawing>
          <wp:inline distT="0" distB="0" distL="0" distR="0" wp14:anchorId="0E8F194F" wp14:editId="4E22B482">
            <wp:extent cx="4521835" cy="3073400"/>
            <wp:effectExtent l="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</w:t>
      </w:r>
      <w:bookmarkStart w:id="0" w:name="_GoBack"/>
      <w:r w:rsidR="00E8448A">
        <w:rPr>
          <w:noProof/>
        </w:rPr>
        <w:drawing>
          <wp:inline distT="0" distB="0" distL="0" distR="0" wp14:anchorId="52D96A31" wp14:editId="27EF522E">
            <wp:extent cx="4623435" cy="2976880"/>
            <wp:effectExtent l="0" t="0" r="24765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37692"/>
    <w:rsid w:val="00053C74"/>
    <w:rsid w:val="00057334"/>
    <w:rsid w:val="000900EB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A33ED"/>
    <w:rsid w:val="001C397C"/>
    <w:rsid w:val="001D0F9B"/>
    <w:rsid w:val="001E2DB0"/>
    <w:rsid w:val="001F7A0E"/>
    <w:rsid w:val="00224736"/>
    <w:rsid w:val="002250A4"/>
    <w:rsid w:val="00241756"/>
    <w:rsid w:val="00254C06"/>
    <w:rsid w:val="00276A12"/>
    <w:rsid w:val="00291843"/>
    <w:rsid w:val="002932DC"/>
    <w:rsid w:val="002A16D1"/>
    <w:rsid w:val="002A64CF"/>
    <w:rsid w:val="002B1C5E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D4067"/>
    <w:rsid w:val="004E0C5B"/>
    <w:rsid w:val="004F4BD4"/>
    <w:rsid w:val="00505163"/>
    <w:rsid w:val="005204FB"/>
    <w:rsid w:val="005238D1"/>
    <w:rsid w:val="00540A04"/>
    <w:rsid w:val="005814A8"/>
    <w:rsid w:val="00590B53"/>
    <w:rsid w:val="005C21AA"/>
    <w:rsid w:val="005C7922"/>
    <w:rsid w:val="005F1AD1"/>
    <w:rsid w:val="006024BE"/>
    <w:rsid w:val="006124F3"/>
    <w:rsid w:val="0061734A"/>
    <w:rsid w:val="00651CF7"/>
    <w:rsid w:val="00662A00"/>
    <w:rsid w:val="006879D4"/>
    <w:rsid w:val="006906ED"/>
    <w:rsid w:val="00691C0F"/>
    <w:rsid w:val="006B4380"/>
    <w:rsid w:val="006D0DDF"/>
    <w:rsid w:val="006E3722"/>
    <w:rsid w:val="006E54AD"/>
    <w:rsid w:val="00707983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41A3"/>
    <w:rsid w:val="007A77D9"/>
    <w:rsid w:val="007B40AE"/>
    <w:rsid w:val="00804BCF"/>
    <w:rsid w:val="00813968"/>
    <w:rsid w:val="00816C6E"/>
    <w:rsid w:val="0083184E"/>
    <w:rsid w:val="008669D4"/>
    <w:rsid w:val="00897B0A"/>
    <w:rsid w:val="00915A81"/>
    <w:rsid w:val="00915AD7"/>
    <w:rsid w:val="00915C37"/>
    <w:rsid w:val="009244FC"/>
    <w:rsid w:val="00957379"/>
    <w:rsid w:val="0096653A"/>
    <w:rsid w:val="009A4BBB"/>
    <w:rsid w:val="009A7506"/>
    <w:rsid w:val="009C745C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AF5FFE"/>
    <w:rsid w:val="00B03BB0"/>
    <w:rsid w:val="00B2166E"/>
    <w:rsid w:val="00B51354"/>
    <w:rsid w:val="00B5573C"/>
    <w:rsid w:val="00B810F6"/>
    <w:rsid w:val="00B91D21"/>
    <w:rsid w:val="00BB341A"/>
    <w:rsid w:val="00BC1D29"/>
    <w:rsid w:val="00BF3BA9"/>
    <w:rsid w:val="00BF695E"/>
    <w:rsid w:val="00C17A62"/>
    <w:rsid w:val="00C25E18"/>
    <w:rsid w:val="00C31857"/>
    <w:rsid w:val="00C3231E"/>
    <w:rsid w:val="00C3696A"/>
    <w:rsid w:val="00C550B9"/>
    <w:rsid w:val="00C85FF1"/>
    <w:rsid w:val="00CB137F"/>
    <w:rsid w:val="00CB743D"/>
    <w:rsid w:val="00CF7575"/>
    <w:rsid w:val="00D200D7"/>
    <w:rsid w:val="00D5213B"/>
    <w:rsid w:val="00D66DA3"/>
    <w:rsid w:val="00D71682"/>
    <w:rsid w:val="00D97AF0"/>
    <w:rsid w:val="00DA7A00"/>
    <w:rsid w:val="00DC631E"/>
    <w:rsid w:val="00DD7632"/>
    <w:rsid w:val="00DF0383"/>
    <w:rsid w:val="00DF7D64"/>
    <w:rsid w:val="00E01DCE"/>
    <w:rsid w:val="00E52413"/>
    <w:rsid w:val="00E5766B"/>
    <w:rsid w:val="00E62DC3"/>
    <w:rsid w:val="00E8448A"/>
    <w:rsid w:val="00E85525"/>
    <w:rsid w:val="00EA04ED"/>
    <w:rsid w:val="00EA4D1F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company/Administrative/Marketing%20Program/Market%20Info/2016%20Market%20Reports/2016%20Auction%20Prices%20wk%203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Sheet1!$B$2:$B$41</c:f>
              <c:numCache>
                <c:formatCode>General</c:formatCode>
                <c:ptCount val="4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  <c:pt idx="20">
                  <c:v>225.0</c:v>
                </c:pt>
                <c:pt idx="21">
                  <c:v>228.0</c:v>
                </c:pt>
                <c:pt idx="22">
                  <c:v>236.0</c:v>
                </c:pt>
                <c:pt idx="23">
                  <c:v>245.0</c:v>
                </c:pt>
                <c:pt idx="24">
                  <c:v>245.0</c:v>
                </c:pt>
                <c:pt idx="25">
                  <c:v>254.0</c:v>
                </c:pt>
                <c:pt idx="26">
                  <c:v>239.0</c:v>
                </c:pt>
                <c:pt idx="27">
                  <c:v>251.0</c:v>
                </c:pt>
                <c:pt idx="28">
                  <c:v>247.0</c:v>
                </c:pt>
                <c:pt idx="29">
                  <c:v>241.0</c:v>
                </c:pt>
                <c:pt idx="30">
                  <c:v>236.0</c:v>
                </c:pt>
                <c:pt idx="31">
                  <c:v>240.0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Sheet1!$C$2:$C$41</c:f>
              <c:numCache>
                <c:formatCode>General</c:formatCode>
                <c:ptCount val="4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  <c:pt idx="20">
                  <c:v>207.0</c:v>
                </c:pt>
                <c:pt idx="21">
                  <c:v>207.0</c:v>
                </c:pt>
                <c:pt idx="22">
                  <c:v>204.0</c:v>
                </c:pt>
                <c:pt idx="23">
                  <c:v>204.0</c:v>
                </c:pt>
                <c:pt idx="24">
                  <c:v>204.0</c:v>
                </c:pt>
                <c:pt idx="25">
                  <c:v>204.0</c:v>
                </c:pt>
                <c:pt idx="26">
                  <c:v>204.0</c:v>
                </c:pt>
                <c:pt idx="27">
                  <c:v>149.0</c:v>
                </c:pt>
                <c:pt idx="28">
                  <c:v>146.0</c:v>
                </c:pt>
                <c:pt idx="29">
                  <c:v>165.0</c:v>
                </c:pt>
                <c:pt idx="30">
                  <c:v>172.0</c:v>
                </c:pt>
                <c:pt idx="31">
                  <c:v>172.0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Sheet1!$D$2:$D$41</c:f>
              <c:numCache>
                <c:formatCode>General</c:formatCode>
                <c:ptCount val="4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  <c:pt idx="20">
                  <c:v>170.0</c:v>
                </c:pt>
                <c:pt idx="21">
                  <c:v>169.0</c:v>
                </c:pt>
                <c:pt idx="22">
                  <c:v>160.0</c:v>
                </c:pt>
                <c:pt idx="23">
                  <c:v>161.0</c:v>
                </c:pt>
                <c:pt idx="24">
                  <c:v>162.0</c:v>
                </c:pt>
                <c:pt idx="25">
                  <c:v>148.0</c:v>
                </c:pt>
                <c:pt idx="26">
                  <c:v>148.0</c:v>
                </c:pt>
                <c:pt idx="27">
                  <c:v>148.0</c:v>
                </c:pt>
                <c:pt idx="28">
                  <c:v>159.0</c:v>
                </c:pt>
                <c:pt idx="29">
                  <c:v>152.0</c:v>
                </c:pt>
                <c:pt idx="30">
                  <c:v>159.0</c:v>
                </c:pt>
                <c:pt idx="31">
                  <c:v>154.0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Sheet1!$E$2:$E$41</c:f>
              <c:numCache>
                <c:formatCode>General</c:formatCode>
                <c:ptCount val="4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  <c:pt idx="20">
                  <c:v>285.0</c:v>
                </c:pt>
                <c:pt idx="21">
                  <c:v>285.0</c:v>
                </c:pt>
                <c:pt idx="22">
                  <c:v>285.0</c:v>
                </c:pt>
                <c:pt idx="23">
                  <c:v>285.0</c:v>
                </c:pt>
                <c:pt idx="24">
                  <c:v>285.0</c:v>
                </c:pt>
                <c:pt idx="25">
                  <c:v>285.0</c:v>
                </c:pt>
                <c:pt idx="26">
                  <c:v>283.0</c:v>
                </c:pt>
                <c:pt idx="27">
                  <c:v>283.0</c:v>
                </c:pt>
                <c:pt idx="28">
                  <c:v>283.0</c:v>
                </c:pt>
                <c:pt idx="29">
                  <c:v>290.0</c:v>
                </c:pt>
                <c:pt idx="30">
                  <c:v>294.0</c:v>
                </c:pt>
                <c:pt idx="31">
                  <c:v>294.0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Sheet1!$F$2:$F$41</c:f>
              <c:numCache>
                <c:formatCode>General</c:formatCode>
                <c:ptCount val="4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  <c:pt idx="20">
                  <c:v>254.0</c:v>
                </c:pt>
                <c:pt idx="21">
                  <c:v>239.0</c:v>
                </c:pt>
                <c:pt idx="22">
                  <c:v>176.0</c:v>
                </c:pt>
                <c:pt idx="23">
                  <c:v>238.0</c:v>
                </c:pt>
                <c:pt idx="24">
                  <c:v>238.0</c:v>
                </c:pt>
                <c:pt idx="25">
                  <c:v>238.0</c:v>
                </c:pt>
                <c:pt idx="26">
                  <c:v>238.0</c:v>
                </c:pt>
                <c:pt idx="30">
                  <c:v>223.0</c:v>
                </c:pt>
                <c:pt idx="31">
                  <c:v>175.0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Sheet1!$G$2:$G$41</c:f>
              <c:numCache>
                <c:formatCode>General</c:formatCode>
                <c:ptCount val="4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  <c:pt idx="20">
                  <c:v>314.0</c:v>
                </c:pt>
                <c:pt idx="21">
                  <c:v>310.0</c:v>
                </c:pt>
                <c:pt idx="22">
                  <c:v>303.0</c:v>
                </c:pt>
                <c:pt idx="23">
                  <c:v>313.0</c:v>
                </c:pt>
                <c:pt idx="24">
                  <c:v>321.0</c:v>
                </c:pt>
                <c:pt idx="25">
                  <c:v>299.0</c:v>
                </c:pt>
                <c:pt idx="26">
                  <c:v>295.0</c:v>
                </c:pt>
                <c:pt idx="27">
                  <c:v>303.0</c:v>
                </c:pt>
                <c:pt idx="28">
                  <c:v>303.0</c:v>
                </c:pt>
                <c:pt idx="29">
                  <c:v>362.0</c:v>
                </c:pt>
                <c:pt idx="30">
                  <c:v>357.0</c:v>
                </c:pt>
                <c:pt idx="31">
                  <c:v>371.0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Sheet1!$H$2:$H$41</c:f>
              <c:numCache>
                <c:formatCode>General</c:formatCode>
                <c:ptCount val="4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18712880"/>
        <c:axId val="-753173968"/>
      </c:lineChart>
      <c:catAx>
        <c:axId val="-8187128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753173968"/>
        <c:crosses val="autoZero"/>
        <c:auto val="1"/>
        <c:lblAlgn val="ctr"/>
        <c:lblOffset val="100"/>
        <c:noMultiLvlLbl val="0"/>
      </c:catAx>
      <c:valAx>
        <c:axId val="-7531739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818712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240.0</c:v>
                </c:pt>
                <c:pt idx="1">
                  <c:v>172.0</c:v>
                </c:pt>
                <c:pt idx="2">
                  <c:v>154.0</c:v>
                </c:pt>
                <c:pt idx="3">
                  <c:v>294.0</c:v>
                </c:pt>
                <c:pt idx="4">
                  <c:v>175.0</c:v>
                </c:pt>
                <c:pt idx="5">
                  <c:v>371.0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378.0</c:v>
                </c:pt>
                <c:pt idx="1">
                  <c:v>156.0</c:v>
                </c:pt>
                <c:pt idx="2">
                  <c:v>161.0</c:v>
                </c:pt>
                <c:pt idx="3">
                  <c:v>285.0</c:v>
                </c:pt>
                <c:pt idx="4">
                  <c:v>172.0</c:v>
                </c:pt>
                <c:pt idx="5">
                  <c:v>348.0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09166864"/>
        <c:axId val="-814291296"/>
      </c:barChart>
      <c:catAx>
        <c:axId val="-809166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814291296"/>
        <c:crosses val="autoZero"/>
        <c:auto val="1"/>
        <c:lblAlgn val="ctr"/>
        <c:lblOffset val="100"/>
        <c:noMultiLvlLbl val="0"/>
      </c:catAx>
      <c:valAx>
        <c:axId val="-81429129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8091668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920877332193941"/>
          <c:y val="0.208065827309129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239.0</c:v>
                </c:pt>
                <c:pt idx="1">
                  <c:v>196.0</c:v>
                </c:pt>
                <c:pt idx="2">
                  <c:v>170.0</c:v>
                </c:pt>
                <c:pt idx="3">
                  <c:v>282.0</c:v>
                </c:pt>
                <c:pt idx="4">
                  <c:v>210.0</c:v>
                </c:pt>
                <c:pt idx="5">
                  <c:v>324.0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309.0</c:v>
                </c:pt>
                <c:pt idx="1">
                  <c:v>152.0</c:v>
                </c:pt>
                <c:pt idx="2">
                  <c:v>172.0</c:v>
                </c:pt>
                <c:pt idx="3">
                  <c:v>258.0</c:v>
                </c:pt>
                <c:pt idx="4">
                  <c:v>181.0</c:v>
                </c:pt>
                <c:pt idx="5">
                  <c:v>325.0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08690288"/>
        <c:axId val="-808866912"/>
      </c:barChart>
      <c:catAx>
        <c:axId val="-808690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808866912"/>
        <c:crosses val="autoZero"/>
        <c:auto val="1"/>
        <c:lblAlgn val="ctr"/>
        <c:lblOffset val="100"/>
        <c:noMultiLvlLbl val="0"/>
      </c:catAx>
      <c:valAx>
        <c:axId val="-80886691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808690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P. Thomson Inc.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3</cp:revision>
  <dcterms:created xsi:type="dcterms:W3CDTF">2016-08-09T18:00:00Z</dcterms:created>
  <dcterms:modified xsi:type="dcterms:W3CDTF">2016-08-30T16:58:00Z</dcterms:modified>
</cp:coreProperties>
</file>